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планируемая дата или период размещения извещения о </w:t>
            </w:r>
            <w:proofErr w:type="gramStart"/>
            <w:r w:rsidRPr="009A3755">
              <w:rPr>
                <w:rFonts w:ascii="Arial" w:eastAsia="Times New Roman" w:hAnsi="Arial" w:cs="Arial"/>
                <w:color w:val="625F5F"/>
                <w:sz w:val="18"/>
                <w:szCs w:val="18"/>
                <w:lang w:eastAsia="ru-RU"/>
              </w:rPr>
              <w:t>закупке(</w:t>
            </w:r>
            <w:proofErr w:type="gramEnd"/>
            <w:r w:rsidRPr="009A3755">
              <w:rPr>
                <w:rFonts w:ascii="Arial" w:eastAsia="Times New Roman" w:hAnsi="Arial" w:cs="Arial"/>
                <w:color w:val="625F5F"/>
                <w:sz w:val="18"/>
                <w:szCs w:val="18"/>
                <w:lang w:eastAsia="ru-RU"/>
              </w:rPr>
              <w:t>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срок исполнения </w:t>
            </w:r>
            <w:proofErr w:type="gramStart"/>
            <w:r w:rsidRPr="009A3755">
              <w:rPr>
                <w:rFonts w:ascii="Arial" w:eastAsia="Times New Roman" w:hAnsi="Arial" w:cs="Arial"/>
                <w:color w:val="625F5F"/>
                <w:sz w:val="18"/>
                <w:szCs w:val="18"/>
                <w:lang w:eastAsia="ru-RU"/>
              </w:rPr>
              <w:t>договора(</w:t>
            </w:r>
            <w:proofErr w:type="gramEnd"/>
            <w:r w:rsidRPr="009A3755">
              <w:rPr>
                <w:rFonts w:ascii="Arial" w:eastAsia="Times New Roman" w:hAnsi="Arial" w:cs="Arial"/>
                <w:color w:val="625F5F"/>
                <w:sz w:val="18"/>
                <w:szCs w:val="18"/>
                <w:lang w:eastAsia="ru-RU"/>
              </w:rPr>
              <w:t>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Услуги должны быть оказаны в соответствии приказом Минздравсоцразвития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w:t>
            </w:r>
            <w:r w:rsidRPr="009A3755">
              <w:rPr>
                <w:rFonts w:ascii="Arial" w:eastAsia="Times New Roman" w:hAnsi="Arial" w:cs="Arial"/>
                <w:color w:val="625F5F"/>
                <w:sz w:val="18"/>
                <w:szCs w:val="18"/>
                <w:lang w:eastAsia="ru-RU"/>
              </w:rPr>
              <w:lastRenderedPageBreak/>
              <w:t xml:space="preserve">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114 500.00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249 533.85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w:t>
            </w:r>
            <w:r w:rsidRPr="009A3755">
              <w:rPr>
                <w:rFonts w:ascii="Arial" w:eastAsia="Times New Roman" w:hAnsi="Arial" w:cs="Arial"/>
                <w:color w:val="625F5F"/>
                <w:sz w:val="18"/>
                <w:szCs w:val="18"/>
                <w:lang w:eastAsia="ru-RU"/>
              </w:rPr>
              <w:lastRenderedPageBreak/>
              <w:t xml:space="preserve">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5..Подрядчик</w:t>
            </w:r>
            <w:proofErr w:type="gramEnd"/>
            <w:r w:rsidRPr="009A3755">
              <w:rPr>
                <w:rFonts w:ascii="Arial" w:eastAsia="Times New Roman" w:hAnsi="Arial" w:cs="Arial"/>
                <w:color w:val="625F5F"/>
                <w:sz w:val="18"/>
                <w:szCs w:val="18"/>
                <w:lang w:eastAsia="ru-RU"/>
              </w:rPr>
              <w:t xml:space="preserve">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w:t>
            </w:r>
            <w:r w:rsidRPr="009A3755">
              <w:rPr>
                <w:rFonts w:ascii="Arial" w:eastAsia="Times New Roman" w:hAnsi="Arial" w:cs="Arial"/>
                <w:color w:val="625F5F"/>
                <w:sz w:val="18"/>
                <w:szCs w:val="18"/>
                <w:lang w:eastAsia="ru-RU"/>
              </w:rPr>
              <w:lastRenderedPageBreak/>
              <w:t xml:space="preserve">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t>
            </w:r>
            <w:r w:rsidRPr="009A3755">
              <w:rPr>
                <w:rFonts w:ascii="Arial" w:eastAsia="Times New Roman" w:hAnsi="Arial" w:cs="Arial"/>
                <w:color w:val="625F5F"/>
                <w:sz w:val="18"/>
                <w:szCs w:val="18"/>
                <w:lang w:eastAsia="ru-RU"/>
              </w:rPr>
              <w:lastRenderedPageBreak/>
              <w:t xml:space="preserve">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w:t>
            </w:r>
            <w:r w:rsidRPr="009A3755">
              <w:rPr>
                <w:rFonts w:ascii="Arial" w:eastAsia="Times New Roman" w:hAnsi="Arial" w:cs="Arial"/>
                <w:color w:val="625F5F"/>
                <w:sz w:val="18"/>
                <w:szCs w:val="18"/>
                <w:lang w:eastAsia="ru-RU"/>
              </w:rPr>
              <w:lastRenderedPageBreak/>
              <w:t xml:space="preserve">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w:t>
            </w:r>
            <w:r w:rsidRPr="009A3755">
              <w:rPr>
                <w:rFonts w:ascii="Arial" w:eastAsia="Times New Roman" w:hAnsi="Arial" w:cs="Arial"/>
                <w:color w:val="625F5F"/>
                <w:sz w:val="18"/>
                <w:szCs w:val="18"/>
                <w:lang w:eastAsia="ru-RU"/>
              </w:rPr>
              <w:lastRenderedPageBreak/>
              <w:t xml:space="preserve">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w:t>
            </w:r>
            <w:r w:rsidRPr="009A3755">
              <w:rPr>
                <w:rFonts w:ascii="Arial" w:eastAsia="Times New Roman" w:hAnsi="Arial" w:cs="Arial"/>
                <w:color w:val="625F5F"/>
                <w:sz w:val="18"/>
                <w:szCs w:val="18"/>
                <w:lang w:eastAsia="ru-RU"/>
              </w:rPr>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w:t>
            </w:r>
            <w:r w:rsidRPr="009A3755">
              <w:rPr>
                <w:rFonts w:ascii="Arial" w:eastAsia="Times New Roman" w:hAnsi="Arial" w:cs="Arial"/>
                <w:color w:val="625F5F"/>
                <w:sz w:val="18"/>
                <w:szCs w:val="18"/>
                <w:lang w:eastAsia="ru-RU"/>
              </w:rPr>
              <w:lastRenderedPageBreak/>
              <w:t xml:space="preserve">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w:t>
            </w:r>
            <w:r w:rsidRPr="009A3755">
              <w:rPr>
                <w:rFonts w:ascii="Arial" w:eastAsia="Times New Roman" w:hAnsi="Arial" w:cs="Arial"/>
                <w:color w:val="625F5F"/>
                <w:sz w:val="18"/>
                <w:szCs w:val="18"/>
                <w:lang w:eastAsia="ru-RU"/>
              </w:rPr>
              <w:lastRenderedPageBreak/>
              <w:t xml:space="preserve">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w:t>
            </w:r>
            <w:r w:rsidRPr="009A3755">
              <w:rPr>
                <w:rFonts w:ascii="Arial" w:eastAsia="Times New Roman" w:hAnsi="Arial" w:cs="Arial"/>
                <w:color w:val="625F5F"/>
                <w:sz w:val="18"/>
                <w:szCs w:val="18"/>
                <w:lang w:eastAsia="ru-RU"/>
              </w:rPr>
              <w:lastRenderedPageBreak/>
              <w:t xml:space="preserve">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9A3755">
              <w:rPr>
                <w:rFonts w:ascii="Arial" w:eastAsia="Times New Roman" w:hAnsi="Arial" w:cs="Arial"/>
                <w:color w:val="625F5F"/>
                <w:sz w:val="18"/>
                <w:szCs w:val="18"/>
                <w:lang w:eastAsia="ru-RU"/>
              </w:rPr>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 xml:space="preserve">2020 г. - 498 </w:t>
            </w:r>
            <w:r w:rsidRPr="009A3755">
              <w:rPr>
                <w:rFonts w:ascii="Arial" w:eastAsia="Times New Roman" w:hAnsi="Arial" w:cs="Arial"/>
                <w:color w:val="625F5F"/>
                <w:sz w:val="18"/>
                <w:szCs w:val="18"/>
                <w:lang w:eastAsia="ru-RU"/>
              </w:rPr>
              <w:lastRenderedPageBreak/>
              <w:t>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w:t>
            </w:r>
            <w:r w:rsidRPr="009A3755">
              <w:rPr>
                <w:rFonts w:ascii="Arial" w:eastAsia="Times New Roman" w:hAnsi="Arial" w:cs="Arial"/>
                <w:color w:val="625F5F"/>
                <w:sz w:val="18"/>
                <w:szCs w:val="18"/>
                <w:lang w:eastAsia="ru-RU"/>
              </w:rPr>
              <w:lastRenderedPageBreak/>
              <w:t xml:space="preserve">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w:t>
            </w:r>
            <w:r w:rsidRPr="009A3755">
              <w:rPr>
                <w:rFonts w:ascii="Arial" w:eastAsia="Times New Roman" w:hAnsi="Arial" w:cs="Arial"/>
                <w:color w:val="625F5F"/>
                <w:sz w:val="18"/>
                <w:szCs w:val="18"/>
                <w:lang w:eastAsia="ru-RU"/>
              </w:rPr>
              <w:lastRenderedPageBreak/>
              <w:t xml:space="preserve">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w:t>
            </w:r>
            <w:r w:rsidRPr="009A3755">
              <w:rPr>
                <w:rFonts w:ascii="Arial" w:eastAsia="Times New Roman" w:hAnsi="Arial" w:cs="Arial"/>
                <w:color w:val="625F5F"/>
                <w:sz w:val="18"/>
                <w:szCs w:val="18"/>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w:t>
            </w:r>
            <w:r w:rsidRPr="009A3755">
              <w:rPr>
                <w:rFonts w:ascii="Arial" w:eastAsia="Times New Roman" w:hAnsi="Arial" w:cs="Arial"/>
                <w:color w:val="625F5F"/>
                <w:sz w:val="18"/>
                <w:szCs w:val="18"/>
                <w:lang w:eastAsia="ru-RU"/>
              </w:rPr>
              <w:lastRenderedPageBreak/>
              <w:t>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w:t>
            </w:r>
            <w:r w:rsidRPr="009A3755">
              <w:rPr>
                <w:rFonts w:ascii="Arial" w:eastAsia="Times New Roman" w:hAnsi="Arial" w:cs="Arial"/>
                <w:color w:val="625F5F"/>
                <w:sz w:val="18"/>
                <w:szCs w:val="18"/>
                <w:lang w:eastAsia="ru-RU"/>
              </w:rPr>
              <w:lastRenderedPageBreak/>
              <w:t>«Специализированный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9A3755">
              <w:rPr>
                <w:rFonts w:ascii="Arial" w:eastAsia="Times New Roman" w:hAnsi="Arial" w:cs="Arial"/>
                <w:color w:val="625F5F"/>
                <w:sz w:val="18"/>
                <w:szCs w:val="18"/>
                <w:lang w:eastAsia="ru-RU"/>
              </w:rPr>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w:t>
            </w:r>
            <w:r w:rsidRPr="009A3755">
              <w:rPr>
                <w:rFonts w:ascii="Arial" w:eastAsia="Times New Roman" w:hAnsi="Arial" w:cs="Arial"/>
                <w:color w:val="625F5F"/>
                <w:sz w:val="18"/>
                <w:szCs w:val="18"/>
                <w:lang w:eastAsia="ru-RU"/>
              </w:rPr>
              <w:lastRenderedPageBreak/>
              <w:t>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w:t>
            </w:r>
            <w:r w:rsidRPr="009A3755">
              <w:rPr>
                <w:rFonts w:ascii="Arial" w:eastAsia="Times New Roman" w:hAnsi="Arial" w:cs="Arial"/>
                <w:color w:val="625F5F"/>
                <w:sz w:val="18"/>
                <w:szCs w:val="18"/>
                <w:lang w:eastAsia="ru-RU"/>
              </w:rPr>
              <w:lastRenderedPageBreak/>
              <w:t xml:space="preserve">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w:t>
            </w:r>
            <w:r w:rsidRPr="009A3755">
              <w:rPr>
                <w:rFonts w:ascii="Arial" w:eastAsia="Times New Roman" w:hAnsi="Arial" w:cs="Arial"/>
                <w:color w:val="625F5F"/>
                <w:sz w:val="18"/>
                <w:szCs w:val="18"/>
                <w:lang w:eastAsia="ru-RU"/>
              </w:rPr>
              <w:lastRenderedPageBreak/>
              <w:t xml:space="preserve">документации, строительно-монтажные работы в части мероприятий сетевой организации по технологическому присоединению энергопринимающих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w:t>
            </w:r>
            <w:r w:rsidRPr="009A3755">
              <w:rPr>
                <w:rFonts w:ascii="Arial" w:eastAsia="Times New Roman" w:hAnsi="Arial" w:cs="Arial"/>
                <w:color w:val="625F5F"/>
                <w:sz w:val="18"/>
                <w:szCs w:val="18"/>
                <w:lang w:eastAsia="ru-RU"/>
              </w:rPr>
              <w:lastRenderedPageBreak/>
              <w:t xml:space="preserve">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w:t>
            </w:r>
            <w:r w:rsidRPr="009A3755">
              <w:rPr>
                <w:rFonts w:ascii="Arial" w:eastAsia="Times New Roman" w:hAnsi="Arial" w:cs="Arial"/>
                <w:color w:val="625F5F"/>
                <w:sz w:val="18"/>
                <w:szCs w:val="18"/>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777 550.23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w:t>
            </w:r>
            <w:r w:rsidRPr="009A3755">
              <w:rPr>
                <w:rFonts w:ascii="Arial" w:eastAsia="Times New Roman" w:hAnsi="Arial" w:cs="Arial"/>
                <w:color w:val="625F5F"/>
                <w:sz w:val="18"/>
                <w:szCs w:val="18"/>
                <w:lang w:eastAsia="ru-RU"/>
              </w:rPr>
              <w:lastRenderedPageBreak/>
              <w:t>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3 230 518.00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 xml:space="preserve">2022 г. - </w:t>
            </w:r>
            <w:r w:rsidRPr="009A3755">
              <w:rPr>
                <w:rFonts w:ascii="Arial" w:eastAsia="Times New Roman" w:hAnsi="Arial" w:cs="Arial"/>
                <w:color w:val="625F5F"/>
                <w:sz w:val="18"/>
                <w:szCs w:val="18"/>
                <w:lang w:eastAsia="ru-RU"/>
              </w:rPr>
              <w:lastRenderedPageBreak/>
              <w:t>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w:t>
            </w:r>
            <w:r w:rsidRPr="009A3755">
              <w:rPr>
                <w:rFonts w:ascii="Arial" w:eastAsia="Times New Roman" w:hAnsi="Arial" w:cs="Arial"/>
                <w:color w:val="625F5F"/>
                <w:sz w:val="18"/>
                <w:szCs w:val="18"/>
                <w:lang w:eastAsia="ru-RU"/>
              </w:rPr>
              <w:lastRenderedPageBreak/>
              <w:t xml:space="preserve">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w:t>
            </w:r>
            <w:r w:rsidRPr="009A3755">
              <w:rPr>
                <w:rFonts w:ascii="Arial" w:eastAsia="Times New Roman" w:hAnsi="Arial" w:cs="Arial"/>
                <w:color w:val="625F5F"/>
                <w:sz w:val="18"/>
                <w:szCs w:val="18"/>
                <w:lang w:eastAsia="ru-RU"/>
              </w:rPr>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w:t>
            </w:r>
            <w:r w:rsidRPr="009A3755">
              <w:rPr>
                <w:rFonts w:ascii="Arial" w:eastAsia="Times New Roman" w:hAnsi="Arial" w:cs="Arial"/>
                <w:color w:val="625F5F"/>
                <w:sz w:val="18"/>
                <w:szCs w:val="18"/>
                <w:lang w:eastAsia="ru-RU"/>
              </w:rPr>
              <w:lastRenderedPageBreak/>
              <w:t xml:space="preserve">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w:t>
            </w:r>
            <w:r w:rsidRPr="009A3755">
              <w:rPr>
                <w:rFonts w:ascii="Arial" w:eastAsia="Times New Roman" w:hAnsi="Arial" w:cs="Arial"/>
                <w:color w:val="625F5F"/>
                <w:sz w:val="18"/>
                <w:szCs w:val="18"/>
                <w:lang w:eastAsia="ru-RU"/>
              </w:rPr>
              <w:lastRenderedPageBreak/>
              <w:t>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w:t>
            </w:r>
            <w:r w:rsidRPr="009A3755">
              <w:rPr>
                <w:rFonts w:ascii="Arial" w:eastAsia="Times New Roman" w:hAnsi="Arial" w:cs="Arial"/>
                <w:color w:val="625F5F"/>
                <w:sz w:val="18"/>
                <w:szCs w:val="18"/>
                <w:lang w:eastAsia="ru-RU"/>
              </w:rPr>
              <w:lastRenderedPageBreak/>
              <w:t>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w:t>
            </w:r>
            <w:r w:rsidRPr="009A3755">
              <w:rPr>
                <w:rFonts w:ascii="Arial" w:eastAsia="Times New Roman" w:hAnsi="Arial" w:cs="Arial"/>
                <w:color w:val="625F5F"/>
                <w:sz w:val="18"/>
                <w:szCs w:val="18"/>
                <w:lang w:eastAsia="ru-RU"/>
              </w:rPr>
              <w:lastRenderedPageBreak/>
              <w:t xml:space="preserve">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w:t>
            </w:r>
            <w:r w:rsidRPr="009A3755">
              <w:rPr>
                <w:rFonts w:ascii="Arial" w:eastAsia="Times New Roman" w:hAnsi="Arial" w:cs="Arial"/>
                <w:color w:val="625F5F"/>
                <w:sz w:val="18"/>
                <w:szCs w:val="18"/>
                <w:lang w:eastAsia="ru-RU"/>
              </w:rPr>
              <w:lastRenderedPageBreak/>
              <w:t xml:space="preserve">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В том числе объем исполне</w:t>
            </w:r>
            <w:r w:rsidRPr="009A3755">
              <w:rPr>
                <w:rFonts w:ascii="Arial" w:eastAsia="Times New Roman" w:hAnsi="Arial" w:cs="Arial"/>
                <w:color w:val="625F5F"/>
                <w:sz w:val="18"/>
                <w:szCs w:val="18"/>
                <w:lang w:eastAsia="ru-RU"/>
              </w:rPr>
              <w:lastRenderedPageBreak/>
              <w:t xml:space="preserve">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w:t>
            </w:r>
            <w:r w:rsidRPr="009A3755">
              <w:rPr>
                <w:rFonts w:ascii="Arial" w:eastAsia="Times New Roman" w:hAnsi="Arial" w:cs="Arial"/>
                <w:color w:val="625F5F"/>
                <w:sz w:val="18"/>
                <w:szCs w:val="18"/>
                <w:lang w:eastAsia="ru-RU"/>
              </w:rPr>
              <w:lastRenderedPageBreak/>
              <w:t>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w:t>
            </w:r>
            <w:r w:rsidRPr="009A3755">
              <w:rPr>
                <w:rFonts w:ascii="Arial" w:eastAsia="Times New Roman" w:hAnsi="Arial" w:cs="Arial"/>
                <w:color w:val="625F5F"/>
                <w:sz w:val="18"/>
                <w:szCs w:val="18"/>
                <w:lang w:eastAsia="ru-RU"/>
              </w:rPr>
              <w:lastRenderedPageBreak/>
              <w:t xml:space="preserve">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w:t>
            </w:r>
            <w:r w:rsidRPr="009A3755">
              <w:rPr>
                <w:rFonts w:ascii="Arial" w:eastAsia="Times New Roman" w:hAnsi="Arial" w:cs="Arial"/>
                <w:color w:val="625F5F"/>
                <w:sz w:val="18"/>
                <w:szCs w:val="18"/>
                <w:lang w:eastAsia="ru-RU"/>
              </w:rPr>
              <w:lastRenderedPageBreak/>
              <w:t xml:space="preserve">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9A3755">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w:t>
            </w:r>
            <w:r w:rsidRPr="009A3755">
              <w:lastRenderedPageBreak/>
              <w:t xml:space="preserve">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w:t>
            </w:r>
            <w:r w:rsidRPr="009A3755">
              <w:lastRenderedPageBreak/>
              <w:t>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w:t>
            </w:r>
            <w:r w:rsidRPr="009A3755">
              <w:lastRenderedPageBreak/>
              <w:t xml:space="preserve">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услуг по страхованию по </w:t>
            </w:r>
            <w:r w:rsidRPr="009A3755">
              <w:lastRenderedPageBreak/>
              <w:t>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«КАСКО» - страхование ТС одноврем</w:t>
            </w:r>
            <w:r w:rsidRPr="009A3755">
              <w:lastRenderedPageBreak/>
              <w:t>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262 196.17 Российский </w:t>
            </w:r>
            <w:r w:rsidRPr="009A3755">
              <w:lastRenderedPageBreak/>
              <w:t>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т.ч. передача Заказчику актуальной информации, адаптированной к имеющимся у Заказчика экземплярам Систем); 3. Консультирование </w:t>
            </w:r>
            <w:r w:rsidRPr="009A3755">
              <w:lastRenderedPageBreak/>
              <w:t xml:space="preserve">по работе с Системами, в т.ч.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w:t>
            </w:r>
            <w:r w:rsidRPr="009A3755">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w:t>
            </w:r>
            <w:r w:rsidRPr="009A3755">
              <w:lastRenderedPageBreak/>
              <w:t xml:space="preserve">соответствии со спецификацией (трансформаторная подстанция КТПНп-вввк-400/6/0,4 (Лазо); - трансформатор </w:t>
            </w:r>
            <w:proofErr w:type="gramStart"/>
            <w:r w:rsidRPr="009A3755">
              <w:t>ТМГ(</w:t>
            </w:r>
            <w:proofErr w:type="gramEnd"/>
            <w:r w:rsidRPr="009A3755">
              <w:t>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ГОСТ 14695-80. Согласно опросном</w:t>
            </w:r>
            <w:r w:rsidRPr="009A3755">
              <w:lastRenderedPageBreak/>
              <w:t>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w:t>
            </w:r>
            <w:r w:rsidRPr="009A3755">
              <w:lastRenderedPageBreak/>
              <w:t xml:space="preserve">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(Трансформаторная подстанция КТПНп-вввк-400/10/0,4 (Круговая); - трансформатор </w:t>
            </w:r>
            <w:proofErr w:type="gramStart"/>
            <w:r w:rsidRPr="009A3755">
              <w:t>ТМГ(</w:t>
            </w:r>
            <w:proofErr w:type="gramEnd"/>
            <w:r w:rsidRPr="009A3755">
              <w:t xml:space="preserve">2)-250/10/0,4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w:t>
            </w:r>
            <w:r w:rsidRPr="009A3755">
              <w:lastRenderedPageBreak/>
              <w:t xml:space="preserve">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w:t>
            </w:r>
            <w:r w:rsidRPr="009A3755">
              <w:lastRenderedPageBreak/>
              <w:t>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ГОСТ 14695-80. Согласно опросному листу. Группа соединения: Y/Yн-0 Номинальная мощность: 250кВ*А U </w:t>
            </w:r>
            <w:r w:rsidRPr="009A3755">
              <w:lastRenderedPageBreak/>
              <w:t xml:space="preserve">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w:t>
            </w:r>
            <w:r w:rsidRPr="009A3755">
              <w:lastRenderedPageBreak/>
              <w:t xml:space="preserve">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Производственная база в г. Невинномысске; 2. </w:t>
            </w:r>
            <w:r w:rsidRPr="009A3755">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9A3755">
              <w:lastRenderedPageBreak/>
              <w:t xml:space="preserve">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w:t>
            </w:r>
            <w:r w:rsidRPr="009A3755">
              <w:lastRenderedPageBreak/>
              <w:t xml:space="preserve">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w:t>
            </w:r>
            <w:r w:rsidRPr="009A3755">
              <w:lastRenderedPageBreak/>
              <w:t xml:space="preserve">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w:t>
            </w:r>
            <w:r w:rsidRPr="009A3755">
              <w:lastRenderedPageBreak/>
              <w:t>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w:t>
            </w:r>
            <w:r w:rsidRPr="009A3755">
              <w:lastRenderedPageBreak/>
              <w:t xml:space="preserve">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заявителя по адресу г. Невинном</w:t>
            </w:r>
            <w:r w:rsidRPr="009A3755">
              <w:lastRenderedPageBreak/>
              <w:t xml:space="preserve">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Линар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Линар (границы охранной зоны газопровода в районе ул. </w:t>
            </w:r>
            <w:r w:rsidRPr="009A3755">
              <w:lastRenderedPageBreak/>
              <w:t xml:space="preserve">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9A3755">
              <w:lastRenderedPageBreak/>
              <w:t xml:space="preserve">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энергопринимающих устройств АО </w:t>
            </w:r>
            <w:r w:rsidRPr="009A3755">
              <w:lastRenderedPageBreak/>
              <w:t>«</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w:t>
            </w:r>
            <w:r w:rsidRPr="009A3755">
              <w:lastRenderedPageBreak/>
              <w:t xml:space="preserve">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w:t>
            </w:r>
            <w:r w:rsidRPr="009A3755">
              <w:lastRenderedPageBreak/>
              <w:t xml:space="preserve">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w:t>
            </w:r>
            <w:r w:rsidRPr="009A3755">
              <w:lastRenderedPageBreak/>
              <w:t xml:space="preserve">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w:t>
            </w:r>
            <w:r w:rsidRPr="009A3755">
              <w:lastRenderedPageBreak/>
              <w:t xml:space="preserve">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r w:rsidRPr="009A3755">
              <w:lastRenderedPageBreak/>
              <w:t xml:space="preserve">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w:t>
            </w:r>
            <w:r w:rsidRPr="009A3755">
              <w:lastRenderedPageBreak/>
              <w:t>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Дата изготовления – не ранее 3 кв. </w:t>
            </w:r>
            <w:r w:rsidRPr="009A3755">
              <w:lastRenderedPageBreak/>
              <w:t xml:space="preserve">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9A3755">
              <w:lastRenderedPageBreak/>
              <w:t xml:space="preserve">энергопринимающих устройств садовых домиков по адресу г. 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w:t>
            </w:r>
            <w:r w:rsidRPr="009A3755">
              <w:lastRenderedPageBreak/>
              <w:t xml:space="preserve">№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9A3755">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w:t>
            </w:r>
            <w:r w:rsidRPr="009A3755">
              <w:lastRenderedPageBreak/>
              <w:t>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w:t>
            </w:r>
            <w:proofErr w:type="gramStart"/>
            <w:r w:rsidRPr="009A3755">
              <w:t>строи-</w:t>
            </w:r>
            <w:proofErr w:type="spellStart"/>
            <w:r w:rsidRPr="009A3755">
              <w:t>тельно</w:t>
            </w:r>
            <w:proofErr w:type="spellEnd"/>
            <w:proofErr w:type="gramEnd"/>
            <w:r w:rsidRPr="009A3755">
              <w:t xml:space="preserve">-монтажные </w:t>
            </w:r>
            <w:proofErr w:type="spellStart"/>
            <w:r w:rsidRPr="009A3755">
              <w:t>ра</w:t>
            </w:r>
            <w:proofErr w:type="spellEnd"/>
            <w:r w:rsidRPr="009A3755">
              <w:t xml:space="preserve">-боты должен быть не менее 24 месяцев с момента сдачи </w:t>
            </w:r>
            <w:proofErr w:type="spellStart"/>
            <w:r w:rsidRPr="009A3755">
              <w:t>объек</w:t>
            </w:r>
            <w:proofErr w:type="spellEnd"/>
            <w:r w:rsidRPr="009A3755">
              <w:t>-та. 3. Выезд по гарантийным обязатель</w:t>
            </w:r>
            <w:r w:rsidRPr="009A3755">
              <w:lastRenderedPageBreak/>
              <w:t xml:space="preserve">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w:t>
            </w:r>
            <w:r w:rsidRPr="009A3755">
              <w:lastRenderedPageBreak/>
              <w:t xml:space="preserve">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ДЮСШ </w:t>
            </w:r>
            <w:r w:rsidRPr="009A3755">
              <w:lastRenderedPageBreak/>
              <w:t xml:space="preserve">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«Подрядчик» выполняет работы в </w:t>
            </w:r>
            <w:r w:rsidRPr="009A3755">
              <w:lastRenderedPageBreak/>
              <w:t xml:space="preserve">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w:t>
            </w:r>
            <w:r w:rsidRPr="009A3755">
              <w:lastRenderedPageBreak/>
              <w:t>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Условная </w:t>
            </w:r>
            <w:r w:rsidRPr="009A3755">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w:t>
            </w:r>
            <w:r w:rsidRPr="009A3755">
              <w:lastRenderedPageBreak/>
              <w:t xml:space="preserve">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w:t>
            </w:r>
            <w:r w:rsidRPr="009A3755">
              <w:lastRenderedPageBreak/>
              <w:t xml:space="preserve">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w:t>
            </w:r>
            <w:proofErr w:type="gramStart"/>
            <w:r w:rsidRPr="009A3755">
              <w:t>строи-</w:t>
            </w:r>
            <w:proofErr w:type="spellStart"/>
            <w:r w:rsidRPr="009A3755">
              <w:t>тельно</w:t>
            </w:r>
            <w:proofErr w:type="spellEnd"/>
            <w:proofErr w:type="gramEnd"/>
            <w:r w:rsidRPr="009A3755">
              <w:t>-монтажны</w:t>
            </w:r>
            <w:r w:rsidRPr="009A3755">
              <w:lastRenderedPageBreak/>
              <w:t xml:space="preserve">е </w:t>
            </w:r>
            <w:proofErr w:type="spellStart"/>
            <w:r w:rsidRPr="009A3755">
              <w:t>ра</w:t>
            </w:r>
            <w:proofErr w:type="spellEnd"/>
            <w:r w:rsidRPr="009A3755">
              <w:t xml:space="preserve">-боты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w:t>
            </w:r>
            <w:r w:rsidRPr="009A3755">
              <w:lastRenderedPageBreak/>
              <w:t xml:space="preserve">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Выполнение разработки проектной документации по объекту: - Реконструкция ВЛ-</w:t>
            </w:r>
            <w:r w:rsidRPr="00BA63C2">
              <w:lastRenderedPageBreak/>
              <w:t xml:space="preserve">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1. Выполнение работ в строгом соответствии с ПУЭ и ПТЭ. 2. «Подрядчик должен быть </w:t>
            </w:r>
            <w:r w:rsidRPr="00BA63C2">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Закупка у единственного поставщика (подрядчика, исполнителя) </w:t>
            </w:r>
            <w:r w:rsidRPr="00BA63C2">
              <w:lastRenderedPageBreak/>
              <w:t>(до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АКЦИОНЕРНОЕ ОБЩЕСТВО "НЕВИННОМЫССКАЯ ЭЛЕКТРОСЕТЕВАЯ </w:t>
            </w:r>
            <w:r w:rsidRPr="00BA63C2">
              <w:lastRenderedPageBreak/>
              <w:t>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7D4BED">
              <w:lastRenderedPageBreak/>
              <w:t xml:space="preserve">энергопринимающих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w:t>
            </w:r>
            <w:r w:rsidRPr="007D4BED">
              <w:lastRenderedPageBreak/>
              <w:t xml:space="preserve">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7D4BED">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разработки проектной документации по объекту: - Реконструкция КЛ-6 </w:t>
            </w:r>
            <w:proofErr w:type="spellStart"/>
            <w:r w:rsidRPr="00CB0631">
              <w:t>кВ</w:t>
            </w:r>
            <w:proofErr w:type="spellEnd"/>
            <w:r w:rsidRPr="00CB0631">
              <w:t xml:space="preserve"> №РП-3.13/ РП-3/13 - ТП-130/8"; - Реконструкция КЛ-6 </w:t>
            </w:r>
            <w:proofErr w:type="spellStart"/>
            <w:r w:rsidRPr="00CB0631">
              <w:t>кВ</w:t>
            </w:r>
            <w:proofErr w:type="spellEnd"/>
            <w:r w:rsidRPr="00CB0631">
              <w:t xml:space="preserve"> №РП-3.12 / РП-3/12 - ТП-130/7"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191 592.84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строительно-монтажных работ по </w:t>
            </w:r>
            <w:r w:rsidRPr="00CB0631">
              <w:lastRenderedPageBreak/>
              <w:t xml:space="preserve">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1. Производственная база в г. Невинномысске; 2. </w:t>
            </w:r>
            <w:r w:rsidRPr="00CB0631">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CB0631">
              <w:lastRenderedPageBreak/>
              <w:t xml:space="preserve">выявленных дефектов по гарантийным обязательствам в течение 3-х часов по заявке «Заказчика» 6. 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3 554 869.20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w:t>
            </w:r>
            <w:r w:rsidRPr="00CB0631">
              <w:lastRenderedPageBreak/>
              <w:t>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w:t>
            </w:r>
            <w:r w:rsidRPr="00CB0631">
              <w:lastRenderedPageBreak/>
              <w:t>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1 780 200.00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Закупка у единственного поставщика (подрядчика, исполнителя) (до </w:t>
            </w:r>
            <w:r w:rsidRPr="00CB0631">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1 108 540.00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Выполнение разработки про-</w:t>
            </w:r>
            <w:proofErr w:type="spellStart"/>
            <w:r w:rsidRPr="00CB0631">
              <w:t>ектно</w:t>
            </w:r>
            <w:proofErr w:type="spellEnd"/>
            <w:r w:rsidRPr="00CB0631">
              <w:t xml:space="preserve">-сметной документации, строительно-монтажные работы в части мероприятий </w:t>
            </w:r>
            <w:r w:rsidRPr="00CB0631">
              <w:lastRenderedPageBreak/>
              <w:t xml:space="preserve">сетевой организации по </w:t>
            </w:r>
            <w:proofErr w:type="spellStart"/>
            <w:r w:rsidRPr="00CB0631">
              <w:t>технологиче-скому</w:t>
            </w:r>
            <w:proofErr w:type="spellEnd"/>
            <w:r w:rsidRPr="00CB0631">
              <w:t xml:space="preserve"> присоединению энерго-принимающих устройств </w:t>
            </w:r>
            <w:proofErr w:type="spellStart"/>
            <w:r w:rsidRPr="00CB0631">
              <w:t>нежи</w:t>
            </w:r>
            <w:proofErr w:type="spellEnd"/>
            <w:r w:rsidRPr="00CB0631">
              <w:t>-лого здания по ул. Бульвар Ми-</w:t>
            </w:r>
            <w:proofErr w:type="spellStart"/>
            <w:r w:rsidRPr="00CB0631">
              <w:t>ра</w:t>
            </w:r>
            <w:proofErr w:type="spellEnd"/>
            <w:r w:rsidRPr="00CB0631">
              <w:t xml:space="preserve">, 23 Г к объектам </w:t>
            </w:r>
            <w:proofErr w:type="spellStart"/>
            <w:r w:rsidRPr="00CB0631">
              <w:t>электросете-вого</w:t>
            </w:r>
            <w:proofErr w:type="spellEnd"/>
            <w:r w:rsidRPr="00CB0631">
              <w:t xml:space="preserve"> хозяйства АО "НЭСК" • Строительство ВЛ-0,4 </w:t>
            </w:r>
            <w:proofErr w:type="spellStart"/>
            <w:r w:rsidRPr="00CB0631">
              <w:t>кВ</w:t>
            </w:r>
            <w:proofErr w:type="spellEnd"/>
            <w:r w:rsidRPr="00CB0631">
              <w:t xml:space="preserve"> №264.5 от КТП-264 ф.5 до ШСН 264-5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1. «Подрядчик» выполняет работы в строгом соответствии с ПУЭ и ПТЭ. 2. Гарантийный срок на выполненные строительно-</w:t>
            </w:r>
            <w:r w:rsidRPr="00CB0631">
              <w:lastRenderedPageBreak/>
              <w:t xml:space="preserve">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w:t>
            </w:r>
            <w:r w:rsidRPr="00CB0631">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807 520.00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bl>
    <w:p w:rsidR="009A3755" w:rsidRPr="009A3755" w:rsidRDefault="009A3755" w:rsidP="009A3755">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планируемая дата или период размеще</w:t>
            </w:r>
            <w:r w:rsidRPr="009A3755">
              <w:lastRenderedPageBreak/>
              <w:t xml:space="preserve">ния извещения о </w:t>
            </w:r>
            <w:proofErr w:type="gramStart"/>
            <w:r w:rsidRPr="009A3755">
              <w:t>закупке(</w:t>
            </w:r>
            <w:proofErr w:type="gramEnd"/>
            <w:r w:rsidRPr="009A3755">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срок исполнения </w:t>
            </w:r>
            <w:proofErr w:type="gramStart"/>
            <w:r w:rsidRPr="009A3755">
              <w:t>договора(</w:t>
            </w:r>
            <w:proofErr w:type="gramEnd"/>
            <w:r w:rsidRPr="009A3755">
              <w:lastRenderedPageBreak/>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7D4BED">
        <w:t>2</w:t>
      </w:r>
      <w:r w:rsidR="00AC46AD" w:rsidRPr="00AC46AD">
        <w:t>8</w:t>
      </w:r>
      <w:r w:rsidRPr="009A3755">
        <w:t xml:space="preserve">.05.2020 </w:t>
      </w:r>
      <w:r w:rsidRPr="009A3755">
        <w:br/>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55"/>
    <w:rsid w:val="001E2861"/>
    <w:rsid w:val="007D4BED"/>
    <w:rsid w:val="009A3755"/>
    <w:rsid w:val="00AC46AD"/>
    <w:rsid w:val="00BA63C2"/>
    <w:rsid w:val="00CB0631"/>
    <w:rsid w:val="00E2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7FB9"/>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94</Pages>
  <Words>11038</Words>
  <Characters>62921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STANSA</cp:lastModifiedBy>
  <cp:revision>4</cp:revision>
  <dcterms:created xsi:type="dcterms:W3CDTF">2020-05-08T12:26:00Z</dcterms:created>
  <dcterms:modified xsi:type="dcterms:W3CDTF">2020-05-29T08:18:00Z</dcterms:modified>
</cp:coreProperties>
</file>