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113412" w:rsidRPr="006D3150" w:rsidRDefault="00113412" w:rsidP="00113412">
      <w:pPr>
        <w:jc w:val="center"/>
        <w:rPr>
          <w:sz w:val="32"/>
          <w:szCs w:val="32"/>
          <w:u w:val="single"/>
        </w:rPr>
      </w:pPr>
      <w:r w:rsidRPr="006D3150">
        <w:rPr>
          <w:sz w:val="32"/>
          <w:szCs w:val="32"/>
          <w:u w:val="single"/>
        </w:rPr>
        <w:t>Выявление без учетного, бездоговорного потребления электроэнергии.</w:t>
      </w:r>
    </w:p>
    <w:p w:rsidR="00C206A8" w:rsidRPr="00113412" w:rsidRDefault="00C206A8" w:rsidP="00220A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3412">
        <w:rPr>
          <w:rFonts w:ascii="Times New Roman" w:hAnsi="Times New Roman" w:cs="Times New Roman"/>
          <w:sz w:val="22"/>
          <w:szCs w:val="22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3B7E7A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3B7E7A" w:rsidRPr="003B7E7A">
        <w:rPr>
          <w:rFonts w:ascii="Times New Roman" w:hAnsi="Times New Roman" w:cs="Times New Roman"/>
          <w:sz w:val="24"/>
          <w:szCs w:val="24"/>
        </w:rPr>
        <w:t>наличие технолог</w:t>
      </w:r>
      <w:r w:rsidR="00315E3C">
        <w:rPr>
          <w:rFonts w:ascii="Times New Roman" w:hAnsi="Times New Roman" w:cs="Times New Roman"/>
          <w:sz w:val="24"/>
          <w:szCs w:val="24"/>
        </w:rPr>
        <w:t xml:space="preserve">ического присоединения к сетям </w:t>
      </w:r>
      <w:r w:rsidR="003B7E7A" w:rsidRPr="003B7E7A">
        <w:rPr>
          <w:rFonts w:ascii="Times New Roman" w:hAnsi="Times New Roman" w:cs="Times New Roman"/>
          <w:sz w:val="24"/>
          <w:szCs w:val="24"/>
        </w:rPr>
        <w:t xml:space="preserve">АО </w:t>
      </w:r>
      <w:r w:rsidR="00315E3C">
        <w:rPr>
          <w:rFonts w:ascii="Times New Roman" w:hAnsi="Times New Roman" w:cs="Times New Roman"/>
          <w:sz w:val="24"/>
          <w:szCs w:val="24"/>
        </w:rPr>
        <w:t>«</w:t>
      </w:r>
      <w:r w:rsidR="003B7E7A" w:rsidRPr="003B7E7A">
        <w:rPr>
          <w:rFonts w:ascii="Times New Roman" w:hAnsi="Times New Roman" w:cs="Times New Roman"/>
          <w:sz w:val="24"/>
          <w:szCs w:val="24"/>
        </w:rPr>
        <w:t>Невинномысская электросетевая компания</w:t>
      </w:r>
      <w:r w:rsidR="00315E3C">
        <w:rPr>
          <w:rFonts w:ascii="Times New Roman" w:hAnsi="Times New Roman" w:cs="Times New Roman"/>
          <w:sz w:val="24"/>
          <w:szCs w:val="24"/>
        </w:rPr>
        <w:t>»</w:t>
      </w:r>
      <w:r w:rsidR="003B7E7A" w:rsidRPr="003B7E7A">
        <w:rPr>
          <w:rFonts w:ascii="Times New Roman" w:hAnsi="Times New Roman" w:cs="Times New Roman"/>
          <w:sz w:val="24"/>
          <w:szCs w:val="24"/>
        </w:rPr>
        <w:t xml:space="preserve"> и при выявлении без</w:t>
      </w:r>
      <w:r w:rsidR="003B7E7A">
        <w:rPr>
          <w:rFonts w:ascii="Times New Roman" w:hAnsi="Times New Roman" w:cs="Times New Roman"/>
          <w:sz w:val="24"/>
          <w:szCs w:val="24"/>
        </w:rPr>
        <w:t xml:space="preserve"> учетного потреблен</w:t>
      </w:r>
      <w:r w:rsidR="003B7E7A" w:rsidRPr="003B7E7A">
        <w:rPr>
          <w:rFonts w:ascii="Times New Roman" w:hAnsi="Times New Roman" w:cs="Times New Roman"/>
          <w:sz w:val="24"/>
          <w:szCs w:val="24"/>
        </w:rPr>
        <w:t>ия электроэнергии, дог</w:t>
      </w:r>
      <w:r w:rsidR="00315E3C">
        <w:rPr>
          <w:rFonts w:ascii="Times New Roman" w:hAnsi="Times New Roman" w:cs="Times New Roman"/>
          <w:sz w:val="24"/>
          <w:szCs w:val="24"/>
        </w:rPr>
        <w:t xml:space="preserve">овора энергоснабжения с </w:t>
      </w:r>
      <w:r w:rsidR="003B7E7A" w:rsidRPr="003B7E7A">
        <w:rPr>
          <w:rFonts w:ascii="Times New Roman" w:hAnsi="Times New Roman" w:cs="Times New Roman"/>
          <w:sz w:val="24"/>
          <w:szCs w:val="24"/>
        </w:rPr>
        <w:t>АО «Горэлектросеть» г.</w:t>
      </w:r>
      <w:r w:rsidR="003B7E7A">
        <w:rPr>
          <w:rFonts w:ascii="Times New Roman" w:hAnsi="Times New Roman" w:cs="Times New Roman"/>
          <w:sz w:val="24"/>
          <w:szCs w:val="24"/>
        </w:rPr>
        <w:t xml:space="preserve"> </w:t>
      </w:r>
      <w:r w:rsidR="003B7E7A" w:rsidRPr="003B7E7A">
        <w:rPr>
          <w:rFonts w:ascii="Times New Roman" w:hAnsi="Times New Roman" w:cs="Times New Roman"/>
          <w:sz w:val="24"/>
          <w:szCs w:val="24"/>
        </w:rPr>
        <w:t>Невинномысск.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9F43AB" w:rsidRPr="009F43AB">
        <w:rPr>
          <w:rFonts w:ascii="Times New Roman" w:hAnsi="Times New Roman" w:cs="Times New Roman"/>
          <w:sz w:val="24"/>
          <w:szCs w:val="24"/>
        </w:rPr>
        <w:t>выявление без учетного, бездоговорного потребления электроэнергии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E42119">
        <w:rPr>
          <w:rFonts w:ascii="Times New Roman" w:hAnsi="Times New Roman" w:cs="Times New Roman"/>
          <w:sz w:val="24"/>
          <w:szCs w:val="24"/>
        </w:rPr>
        <w:t>до 3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3261"/>
        <w:gridCol w:w="2268"/>
        <w:gridCol w:w="2268"/>
        <w:gridCol w:w="3827"/>
      </w:tblGrid>
      <w:tr w:rsidR="00E42119" w:rsidTr="00EB03B9">
        <w:trPr>
          <w:trHeight w:val="698"/>
        </w:trPr>
        <w:tc>
          <w:tcPr>
            <w:tcW w:w="534" w:type="dxa"/>
            <w:vAlign w:val="center"/>
          </w:tcPr>
          <w:p w:rsidR="00E42119" w:rsidRPr="00D67ABB" w:rsidRDefault="00E42119" w:rsidP="00EB03B9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D67ABB">
              <w:rPr>
                <w:b/>
                <w:bCs/>
                <w:color w:val="000000"/>
              </w:rPr>
              <w:t>№</w:t>
            </w:r>
          </w:p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jc w:val="center"/>
              <w:rPr>
                <w:b/>
                <w:bCs/>
                <w:color w:val="000000"/>
              </w:rPr>
            </w:pPr>
            <w:r w:rsidRPr="00D67ABB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jc w:val="center"/>
              <w:rPr>
                <w:b/>
                <w:bCs/>
                <w:color w:val="000000"/>
              </w:rPr>
            </w:pPr>
            <w:r w:rsidRPr="00D67ABB">
              <w:rPr>
                <w:b/>
                <w:bCs/>
                <w:color w:val="000000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jc w:val="center"/>
              <w:rPr>
                <w:b/>
                <w:bCs/>
                <w:color w:val="000000"/>
              </w:rPr>
            </w:pPr>
            <w:r w:rsidRPr="00D67ABB">
              <w:rPr>
                <w:b/>
                <w:bCs/>
                <w:color w:val="000000"/>
              </w:rPr>
              <w:t>Форма предоставления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jc w:val="center"/>
              <w:rPr>
                <w:b/>
                <w:bCs/>
                <w:color w:val="000000"/>
              </w:rPr>
            </w:pPr>
            <w:r w:rsidRPr="00D67ABB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jc w:val="center"/>
              <w:rPr>
                <w:b/>
                <w:bCs/>
                <w:color w:val="000000"/>
              </w:rPr>
            </w:pPr>
            <w:r w:rsidRPr="00D67ABB">
              <w:rPr>
                <w:b/>
                <w:bCs/>
                <w:color w:val="000000"/>
              </w:rPr>
              <w:t>Ссылка на нормативный правовой акт</w:t>
            </w:r>
          </w:p>
        </w:tc>
      </w:tr>
      <w:tr w:rsidR="00E42119" w:rsidTr="00EB03B9">
        <w:tc>
          <w:tcPr>
            <w:tcW w:w="534" w:type="dxa"/>
            <w:vMerge w:val="restart"/>
            <w:vAlign w:val="center"/>
          </w:tcPr>
          <w:p w:rsidR="00E42119" w:rsidRDefault="00E42119" w:rsidP="00EB03B9">
            <w:pPr>
              <w:jc w:val="center"/>
            </w:pPr>
            <w:r w:rsidRPr="00D67ABB">
              <w:rPr>
                <w:color w:val="000000"/>
              </w:rPr>
              <w:t>1.</w:t>
            </w:r>
          </w:p>
        </w:tc>
        <w:tc>
          <w:tcPr>
            <w:tcW w:w="2976" w:type="dxa"/>
            <w:vMerge w:val="restart"/>
          </w:tcPr>
          <w:p w:rsidR="00E42119" w:rsidRDefault="00E42119" w:rsidP="00EB03B9">
            <w:r w:rsidRPr="00D67ABB">
              <w:rPr>
                <w:color w:val="000000"/>
              </w:rPr>
              <w:t>Выявление факта неучтенного (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>, бездоговорного) потребления электроэнергии.</w:t>
            </w:r>
          </w:p>
        </w:tc>
        <w:tc>
          <w:tcPr>
            <w:tcW w:w="3261" w:type="dxa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Условие этапа – наличие доступа на объект.</w:t>
            </w:r>
          </w:p>
          <w:p w:rsidR="00E42119" w:rsidRDefault="00E42119" w:rsidP="00EB03B9">
            <w:r w:rsidRPr="00D67ABB">
              <w:rPr>
                <w:color w:val="000000"/>
              </w:rPr>
              <w:t>Содержание этапа:</w:t>
            </w:r>
          </w:p>
        </w:tc>
        <w:tc>
          <w:tcPr>
            <w:tcW w:w="2268" w:type="dxa"/>
            <w:vMerge w:val="restart"/>
            <w:vAlign w:val="center"/>
          </w:tcPr>
          <w:p w:rsidR="00E42119" w:rsidRDefault="00E42119" w:rsidP="00EB03B9">
            <w:r w:rsidRPr="00D67ABB">
              <w:rPr>
                <w:color w:val="000000"/>
              </w:rPr>
              <w:t>Визуальный осмотр и проверка с использованием переносных измерительных приборов.</w:t>
            </w:r>
          </w:p>
        </w:tc>
        <w:tc>
          <w:tcPr>
            <w:tcW w:w="2268" w:type="dxa"/>
            <w:vMerge w:val="restart"/>
            <w:vAlign w:val="center"/>
          </w:tcPr>
          <w:p w:rsidR="00E42119" w:rsidRDefault="00E42119" w:rsidP="00EB03B9">
            <w:r w:rsidRPr="00D67ABB">
              <w:rPr>
                <w:color w:val="000000"/>
              </w:rPr>
              <w:t>В день проведения проверки</w:t>
            </w:r>
          </w:p>
        </w:tc>
        <w:tc>
          <w:tcPr>
            <w:tcW w:w="3827" w:type="dxa"/>
            <w:vMerge w:val="restart"/>
            <w:vAlign w:val="center"/>
          </w:tcPr>
          <w:p w:rsidR="00E42119" w:rsidRDefault="00E42119" w:rsidP="00EB03B9">
            <w:r w:rsidRPr="00D67ABB">
              <w:rPr>
                <w:color w:val="000000"/>
              </w:rPr>
              <w:t xml:space="preserve">Постановление Правительства РФ от 04.05.2012 №442, п. 192. </w:t>
            </w:r>
            <w:r w:rsidRPr="00D67ABB">
              <w:rPr>
                <w:color w:val="000000"/>
              </w:rPr>
              <w:br/>
              <w:t>Постановление Правительства РФ  06.05.2011 №354, п. 62.</w:t>
            </w:r>
          </w:p>
        </w:tc>
      </w:tr>
      <w:tr w:rsidR="00E42119" w:rsidTr="00EB03B9">
        <w:trPr>
          <w:trHeight w:val="3407"/>
        </w:trPr>
        <w:tc>
          <w:tcPr>
            <w:tcW w:w="534" w:type="dxa"/>
            <w:vMerge/>
          </w:tcPr>
          <w:p w:rsidR="00E42119" w:rsidRDefault="00E42119" w:rsidP="00EB03B9"/>
        </w:tc>
        <w:tc>
          <w:tcPr>
            <w:tcW w:w="2976" w:type="dxa"/>
            <w:vMerge/>
          </w:tcPr>
          <w:p w:rsidR="00E42119" w:rsidRDefault="00E42119" w:rsidP="00EB03B9"/>
        </w:tc>
        <w:tc>
          <w:tcPr>
            <w:tcW w:w="3261" w:type="dxa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1.Обследование питающей объект линии, токоприемников.</w:t>
            </w:r>
          </w:p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2. Проведение замеров параметров электрической сети (в случае бездоговорного потребления электроэнергии).</w:t>
            </w:r>
          </w:p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3. У потребителя - проверка (инструментальная) узла учета электрической энергии.</w:t>
            </w:r>
          </w:p>
        </w:tc>
        <w:tc>
          <w:tcPr>
            <w:tcW w:w="2268" w:type="dxa"/>
            <w:vMerge/>
          </w:tcPr>
          <w:p w:rsidR="00E42119" w:rsidRDefault="00E42119" w:rsidP="00EB03B9"/>
        </w:tc>
        <w:tc>
          <w:tcPr>
            <w:tcW w:w="2268" w:type="dxa"/>
            <w:vMerge/>
          </w:tcPr>
          <w:p w:rsidR="00E42119" w:rsidRDefault="00E42119" w:rsidP="00EB03B9"/>
        </w:tc>
        <w:tc>
          <w:tcPr>
            <w:tcW w:w="3827" w:type="dxa"/>
            <w:vMerge/>
          </w:tcPr>
          <w:p w:rsidR="00E42119" w:rsidRDefault="00E42119" w:rsidP="00EB03B9"/>
        </w:tc>
      </w:tr>
      <w:tr w:rsidR="00E42119" w:rsidTr="00315E3C">
        <w:trPr>
          <w:trHeight w:val="2227"/>
        </w:trPr>
        <w:tc>
          <w:tcPr>
            <w:tcW w:w="534" w:type="dxa"/>
            <w:vAlign w:val="center"/>
          </w:tcPr>
          <w:p w:rsidR="00E42119" w:rsidRPr="00D67ABB" w:rsidRDefault="00E42119" w:rsidP="00EB03B9">
            <w:pPr>
              <w:jc w:val="center"/>
              <w:rPr>
                <w:color w:val="000000"/>
              </w:rPr>
            </w:pPr>
            <w:r w:rsidRPr="00D67ABB">
              <w:rPr>
                <w:color w:val="000000"/>
              </w:rPr>
              <w:t>2.</w:t>
            </w:r>
          </w:p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Составление Акта о неучтенном (</w:t>
            </w:r>
            <w:proofErr w:type="spellStart"/>
            <w:r w:rsidRPr="00D67ABB">
              <w:rPr>
                <w:color w:val="000000"/>
              </w:rPr>
              <w:t>безучетном</w:t>
            </w:r>
            <w:proofErr w:type="spellEnd"/>
            <w:r w:rsidRPr="00D67ABB">
              <w:rPr>
                <w:color w:val="000000"/>
              </w:rPr>
              <w:t>, бездоговорном) потреблении электрической энергии.</w:t>
            </w:r>
          </w:p>
          <w:p w:rsidR="00E42119" w:rsidRPr="00D67ABB" w:rsidRDefault="00E42119" w:rsidP="00EB03B9">
            <w:pPr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Условие этапа – наличие выявленного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либо бездоговорного потребления электроэнергии.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В день выявления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либо бездоговорного потребления электроэнергии.</w:t>
            </w: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Постановление Правительства РФ от 04.05.2012 №442, п. 193.</w:t>
            </w:r>
          </w:p>
        </w:tc>
      </w:tr>
      <w:tr w:rsidR="00E42119" w:rsidTr="00315E3C">
        <w:trPr>
          <w:trHeight w:val="385"/>
        </w:trPr>
        <w:tc>
          <w:tcPr>
            <w:tcW w:w="534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lastRenderedPageBreak/>
              <w:t>3.</w:t>
            </w:r>
          </w:p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Ограничение режима электропотребления</w:t>
            </w: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При выявлении фактов бездоговорного потребления электрической энергии, в отношении лиц, его осуществляющих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Отключение токоприемников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В день выявления бездоговорного потребления электроэнергии.</w:t>
            </w: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Постановление Правительства РФ от 04.05.2012 №442. Постановление Правительства РФ  06.05.2011 №354, п. 62.</w:t>
            </w:r>
          </w:p>
        </w:tc>
      </w:tr>
      <w:tr w:rsidR="00E42119" w:rsidTr="00EB03B9">
        <w:tc>
          <w:tcPr>
            <w:tcW w:w="534" w:type="dxa"/>
            <w:vAlign w:val="center"/>
          </w:tcPr>
          <w:p w:rsidR="00E42119" w:rsidRPr="00D67ABB" w:rsidRDefault="00E42119" w:rsidP="00EB03B9">
            <w:pPr>
              <w:jc w:val="center"/>
              <w:rPr>
                <w:color w:val="000000"/>
              </w:rPr>
            </w:pPr>
            <w:r w:rsidRPr="00D67ABB">
              <w:rPr>
                <w:color w:val="000000"/>
              </w:rPr>
              <w:t>4.</w:t>
            </w:r>
          </w:p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Выдача Предписания.</w:t>
            </w: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Потребителю выписывается Предписание на устранение допущенных нарушений, повлекших </w:t>
            </w:r>
            <w:proofErr w:type="spellStart"/>
            <w:r w:rsidRPr="00D67ABB">
              <w:rPr>
                <w:color w:val="000000"/>
              </w:rPr>
              <w:t>безучетное</w:t>
            </w:r>
            <w:proofErr w:type="spellEnd"/>
            <w:r w:rsidRPr="00D67ABB">
              <w:rPr>
                <w:color w:val="000000"/>
              </w:rPr>
              <w:t xml:space="preserve"> потребление электроэнергии, составляется акт вывода из расчетов узла учета электрической энергии.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В день выявления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потребления электроэнергии.</w:t>
            </w: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 </w:t>
            </w:r>
          </w:p>
        </w:tc>
      </w:tr>
      <w:tr w:rsidR="00E42119" w:rsidTr="00EB03B9">
        <w:tc>
          <w:tcPr>
            <w:tcW w:w="534" w:type="dxa"/>
            <w:vMerge w:val="restart"/>
            <w:vAlign w:val="center"/>
          </w:tcPr>
          <w:p w:rsidR="00E42119" w:rsidRPr="00D67ABB" w:rsidRDefault="00E42119" w:rsidP="00EB03B9">
            <w:pPr>
              <w:jc w:val="center"/>
              <w:rPr>
                <w:color w:val="000000"/>
              </w:rPr>
            </w:pPr>
            <w:r w:rsidRPr="00D67ABB">
              <w:rPr>
                <w:color w:val="000000"/>
              </w:rPr>
              <w:t>5.</w:t>
            </w:r>
          </w:p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Выполнение расчета объема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электропотребления для юридических и физических лиц.</w:t>
            </w: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Расчет объема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потребления электрической энергии для юридических лиц производится по максимальной разрешенной договором мощности.                                                                                                                                             Для потребителей категории «население» расчет объема производится по мощности всех энергопринимающих устройств.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Merge w:val="restart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Расчет объема осуществляется сетевой организацией в течение 2 рабочих дней со дня составления акта о неучтенном потреблении электрической энергии. </w:t>
            </w: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Постановление Правительства РФ от 04.05.2012 №442, п. 195. </w:t>
            </w:r>
            <w:r w:rsidRPr="00D67ABB">
              <w:rPr>
                <w:color w:val="000000"/>
              </w:rPr>
              <w:br w:type="page"/>
              <w:t>Постановление Правительства РФ  06.05.2011 №354, п. 62.</w:t>
            </w:r>
          </w:p>
        </w:tc>
      </w:tr>
      <w:tr w:rsidR="00E42119" w:rsidTr="00315E3C">
        <w:trPr>
          <w:trHeight w:val="3569"/>
        </w:trPr>
        <w:tc>
          <w:tcPr>
            <w:tcW w:w="534" w:type="dxa"/>
            <w:vMerge/>
          </w:tcPr>
          <w:p w:rsidR="00E42119" w:rsidRDefault="00E42119" w:rsidP="00EB03B9"/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Выполнение расчета объема бездоговорного электропотребления.</w:t>
            </w: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Объем бездоговорного потребления электрической энергии в зависимости от категории потребителя допустившего бездоговорное потребление электроэнергии определяется, за период времени, в течение которого осуществлялось бездоговорное потребление электрической энергии, но не более чем за 3 года. 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Merge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Постановление Правительства РФ от 04.05.2012 №442, п. 196. Постановление Правительства РФ  06.05.2011 №354, п. 62. </w:t>
            </w:r>
          </w:p>
        </w:tc>
      </w:tr>
      <w:tr w:rsidR="00E42119" w:rsidTr="00315E3C">
        <w:trPr>
          <w:trHeight w:val="108"/>
        </w:trPr>
        <w:tc>
          <w:tcPr>
            <w:tcW w:w="534" w:type="dxa"/>
            <w:vAlign w:val="center"/>
          </w:tcPr>
          <w:p w:rsidR="00E42119" w:rsidRPr="00D67ABB" w:rsidRDefault="00E42119" w:rsidP="00EB03B9">
            <w:pPr>
              <w:jc w:val="center"/>
              <w:rPr>
                <w:color w:val="000000"/>
              </w:rPr>
            </w:pPr>
            <w:r w:rsidRPr="00D67ABB">
              <w:rPr>
                <w:color w:val="000000"/>
              </w:rPr>
              <w:lastRenderedPageBreak/>
              <w:t>6.</w:t>
            </w:r>
          </w:p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Выполнение расчета стоимости неучтенного (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>, бездоговорного) потребления электроэнергии.</w:t>
            </w: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По физическим лицам, не использующих электроэнергию для  коммерческой деятельности,  расчет стоимости объема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или бездоговорного потребления электроэнергии производится по тарифу, действующему на момент составления акта, по соответствующей группе потребителей.                                     По юридическим лицам и индивидуальным предпринимателям, расчет стоимости объема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или бездоговорного потребления электроэнергии производится по расчетной нерегулируемой цене, в соответствии с указаниями законодательства РФ. 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Расчет стоимости объема осуществляется сетевой организацией в течение 2 рабочих дней со дня составления акта о неучтенном потреблении электрической энергии. </w:t>
            </w: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Постановление Правительства РФ от 04.05.2012 №442, п. 195, 196.</w:t>
            </w:r>
          </w:p>
        </w:tc>
      </w:tr>
      <w:tr w:rsidR="00E42119" w:rsidTr="00EB03B9">
        <w:tc>
          <w:tcPr>
            <w:tcW w:w="534" w:type="dxa"/>
            <w:vAlign w:val="center"/>
          </w:tcPr>
          <w:p w:rsidR="00E42119" w:rsidRPr="00D67ABB" w:rsidRDefault="00E42119" w:rsidP="00EB03B9">
            <w:pPr>
              <w:jc w:val="center"/>
              <w:rPr>
                <w:color w:val="000000"/>
              </w:rPr>
            </w:pPr>
            <w:r w:rsidRPr="00D67ABB">
              <w:rPr>
                <w:color w:val="000000"/>
              </w:rPr>
              <w:t>7.</w:t>
            </w:r>
          </w:p>
        </w:tc>
        <w:tc>
          <w:tcPr>
            <w:tcW w:w="2976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Взыскание стоимости неучтенного (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>, бездоговорного) потребления электроэнергии.</w:t>
            </w:r>
          </w:p>
        </w:tc>
        <w:tc>
          <w:tcPr>
            <w:tcW w:w="3261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На основании расчета объема неучтенного потребления электроэнергии оформляется счет для оплаты стоимости электрической энергии.                                                                         Стоимость объема </w:t>
            </w:r>
            <w:proofErr w:type="spellStart"/>
            <w:r w:rsidRPr="00D67ABB">
              <w:rPr>
                <w:color w:val="000000"/>
              </w:rPr>
              <w:t>безучетно</w:t>
            </w:r>
            <w:proofErr w:type="spellEnd"/>
            <w:r w:rsidRPr="00D67ABB">
              <w:rPr>
                <w:color w:val="000000"/>
              </w:rPr>
              <w:t xml:space="preserve"> потребленной электрической энергии включается сбытовой компанией в выставляемый потребителю счет на оплату стоимости электрической энергии за тот расчетный период, в котором был выявлен факт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потребления и составлен акт о неучтенном потреблении электрической </w:t>
            </w:r>
            <w:r w:rsidRPr="00D67ABB">
              <w:rPr>
                <w:color w:val="000000"/>
              </w:rPr>
              <w:lastRenderedPageBreak/>
              <w:t xml:space="preserve">энергии.                                                                                                                         Сетевая организация оформляет счет для оплаты стоимости </w:t>
            </w:r>
            <w:proofErr w:type="spellStart"/>
            <w:r w:rsidRPr="00D67ABB">
              <w:rPr>
                <w:color w:val="000000"/>
              </w:rPr>
              <w:t>бездоговорно</w:t>
            </w:r>
            <w:proofErr w:type="spellEnd"/>
            <w:r w:rsidRPr="00D67ABB">
              <w:rPr>
                <w:color w:val="000000"/>
              </w:rPr>
              <w:t xml:space="preserve"> потребленной электрической энергии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энергии. 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lastRenderedPageBreak/>
              <w:t>Письменно</w:t>
            </w:r>
          </w:p>
        </w:tc>
        <w:tc>
          <w:tcPr>
            <w:tcW w:w="2268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 xml:space="preserve">Срок оплаты </w:t>
            </w:r>
            <w:proofErr w:type="spellStart"/>
            <w:r w:rsidRPr="00D67ABB">
              <w:rPr>
                <w:color w:val="000000"/>
              </w:rPr>
              <w:t>безучетного</w:t>
            </w:r>
            <w:proofErr w:type="spellEnd"/>
            <w:r w:rsidRPr="00D67ABB">
              <w:rPr>
                <w:color w:val="000000"/>
              </w:rPr>
              <w:t xml:space="preserve"> потребления электроэнергии - с даты получения, но не позднее даты определенной договором энергоснабжения.                  Срок оплаты бездоговорного потребления электроэнергии - с даты получения в течении 10 дней.</w:t>
            </w:r>
          </w:p>
        </w:tc>
        <w:tc>
          <w:tcPr>
            <w:tcW w:w="3827" w:type="dxa"/>
            <w:vAlign w:val="center"/>
          </w:tcPr>
          <w:p w:rsidR="00E42119" w:rsidRPr="00D67ABB" w:rsidRDefault="00E42119" w:rsidP="00EB03B9">
            <w:pPr>
              <w:rPr>
                <w:color w:val="000000"/>
              </w:rPr>
            </w:pPr>
            <w:r w:rsidRPr="00D67ABB">
              <w:rPr>
                <w:color w:val="000000"/>
              </w:rPr>
              <w:t>Постановление Правительства РФ от 04.05.2012 №442, п. 195, 196.</w:t>
            </w: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nformat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315E3C">
        <w:rPr>
          <w:rFonts w:ascii="Times New Roman" w:hAnsi="Times New Roman" w:cs="Times New Roman"/>
          <w:u w:val="single"/>
        </w:rPr>
        <w:t xml:space="preserve">приемная </w:t>
      </w:r>
      <w:r w:rsidR="000535FF" w:rsidRPr="000535FF">
        <w:rPr>
          <w:rFonts w:ascii="Times New Roman" w:hAnsi="Times New Roman" w:cs="Times New Roman"/>
          <w:u w:val="single"/>
        </w:rPr>
        <w:t>АО «НЭСК»</w:t>
      </w:r>
      <w:r w:rsidRPr="000535FF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315E3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535FF"/>
    <w:rsid w:val="00113412"/>
    <w:rsid w:val="00220A90"/>
    <w:rsid w:val="00315E3C"/>
    <w:rsid w:val="003B7E7A"/>
    <w:rsid w:val="0059649A"/>
    <w:rsid w:val="006D3150"/>
    <w:rsid w:val="00945784"/>
    <w:rsid w:val="009F43AB"/>
    <w:rsid w:val="00A11632"/>
    <w:rsid w:val="00A1564A"/>
    <w:rsid w:val="00C206A8"/>
    <w:rsid w:val="00E42119"/>
    <w:rsid w:val="00EB3A3C"/>
    <w:rsid w:val="00E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9</cp:revision>
  <dcterms:created xsi:type="dcterms:W3CDTF">2016-04-01T11:24:00Z</dcterms:created>
  <dcterms:modified xsi:type="dcterms:W3CDTF">2018-02-27T05:11:00Z</dcterms:modified>
</cp:coreProperties>
</file>