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CD" w:rsidRDefault="00340C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CCD" w:rsidRDefault="00340CCD">
      <w:pPr>
        <w:pStyle w:val="ConsPlusNormal"/>
        <w:jc w:val="both"/>
        <w:outlineLvl w:val="0"/>
      </w:pPr>
    </w:p>
    <w:p w:rsidR="00340CCD" w:rsidRDefault="00340CCD">
      <w:pPr>
        <w:pStyle w:val="ConsPlusTitle"/>
        <w:jc w:val="center"/>
        <w:outlineLvl w:val="0"/>
      </w:pPr>
      <w:r>
        <w:t>РЕГИОНАЛЬНАЯ ТАРИФНАЯ КОМИССИЯ</w:t>
      </w:r>
    </w:p>
    <w:p w:rsidR="00340CCD" w:rsidRDefault="00340CCD">
      <w:pPr>
        <w:pStyle w:val="ConsPlusTitle"/>
        <w:jc w:val="center"/>
      </w:pPr>
      <w:r>
        <w:t>СТАВРОПОЛЬСКОГО КРАЯ</w:t>
      </w:r>
    </w:p>
    <w:p w:rsidR="00340CCD" w:rsidRDefault="00340CCD">
      <w:pPr>
        <w:pStyle w:val="ConsPlusTitle"/>
        <w:jc w:val="center"/>
      </w:pPr>
    </w:p>
    <w:p w:rsidR="00340CCD" w:rsidRDefault="00340CCD">
      <w:pPr>
        <w:pStyle w:val="ConsPlusTitle"/>
        <w:jc w:val="center"/>
      </w:pPr>
      <w:r>
        <w:t>ПОСТАНОВЛЕНИЕ</w:t>
      </w:r>
    </w:p>
    <w:p w:rsidR="00340CCD" w:rsidRDefault="00340CCD">
      <w:pPr>
        <w:pStyle w:val="ConsPlusTitle"/>
        <w:jc w:val="center"/>
      </w:pPr>
      <w:r>
        <w:t>от 31 марта 2017 г. N 20/3</w:t>
      </w:r>
    </w:p>
    <w:p w:rsidR="00340CCD" w:rsidRDefault="00340CCD">
      <w:pPr>
        <w:pStyle w:val="ConsPlusTitle"/>
        <w:jc w:val="center"/>
      </w:pPr>
    </w:p>
    <w:p w:rsidR="00340CCD" w:rsidRDefault="00340CCD">
      <w:pPr>
        <w:pStyle w:val="ConsPlusTitle"/>
        <w:jc w:val="center"/>
      </w:pPr>
      <w:r>
        <w:t xml:space="preserve">О ВНЕСЕНИИ ИЗМЕНЕНИЙ В ПОСТАНОВЛЕНИЕ </w:t>
      </w:r>
      <w:proofErr w:type="gramStart"/>
      <w:r>
        <w:t>РЕГИОНАЛЬНОЙ</w:t>
      </w:r>
      <w:proofErr w:type="gramEnd"/>
      <w:r>
        <w:t xml:space="preserve"> ТАРИФНОЙ</w:t>
      </w:r>
    </w:p>
    <w:p w:rsidR="00340CCD" w:rsidRDefault="00340CCD">
      <w:pPr>
        <w:pStyle w:val="ConsPlusTitle"/>
        <w:jc w:val="center"/>
      </w:pPr>
      <w:r>
        <w:t>КОМИССИИ СТАВРОПОЛЬСКОГО КРАЯ ОТ 13 МАРТА 2012 Г. N 15/1</w:t>
      </w:r>
    </w:p>
    <w:p w:rsidR="00340CCD" w:rsidRDefault="00340CCD">
      <w:pPr>
        <w:pStyle w:val="ConsPlusTitle"/>
        <w:jc w:val="center"/>
      </w:pPr>
      <w:r>
        <w:t>"ОБ УСТАНОВЛЕНИИ ЦЕЛЕВЫХ ПОКАЗАТЕЛЕЙ ЭНЕРГОСБЕРЕЖЕНИЯ</w:t>
      </w:r>
    </w:p>
    <w:p w:rsidR="00340CCD" w:rsidRDefault="00340CCD">
      <w:pPr>
        <w:pStyle w:val="ConsPlusTitle"/>
        <w:jc w:val="center"/>
      </w:pPr>
      <w:r>
        <w:t>И ПОВЫШЕНИЯ ЭНЕРГЕТИЧЕСКОЙ ЭФФЕКТИВНОСТИ, ДОСТИЖЕНИЕ КОТОРЫХ</w:t>
      </w:r>
    </w:p>
    <w:p w:rsidR="00340CCD" w:rsidRDefault="00340CCD">
      <w:pPr>
        <w:pStyle w:val="ConsPlusTitle"/>
        <w:jc w:val="center"/>
      </w:pPr>
      <w:r>
        <w:t>ДОЛЖНО БЫТЬ ОБЕСПЕЧЕНО В ХОДЕ РЕАЛИЗАЦИИ ПРОГРАММЫ</w:t>
      </w:r>
    </w:p>
    <w:p w:rsidR="00340CCD" w:rsidRDefault="00340CCD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340CCD" w:rsidRDefault="00340CCD">
      <w:pPr>
        <w:pStyle w:val="ConsPlusTitle"/>
        <w:jc w:val="center"/>
      </w:pPr>
      <w:r>
        <w:t>ЭФФЕКТИВНОСТИ ОРГАНИЗАЦИИ, ОСУЩЕСТВЛЯЮЩЕЙ ДЕЯТЕЛЬНОСТЬ</w:t>
      </w:r>
    </w:p>
    <w:p w:rsidR="00340CCD" w:rsidRDefault="00340CCD">
      <w:pPr>
        <w:pStyle w:val="ConsPlusTitle"/>
        <w:jc w:val="center"/>
      </w:pPr>
      <w:r>
        <w:t>ПО ПЕРЕДАЧЕ ЭЛЕКТРИЧЕСКОЙ ЭНЕРГИИ В СТАВРОПОЛЬСКОМ КРАЕ"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региональной тарифной комиссии Ставропольского края от 13 марта 2012 г. N 15/1 "Об установлении целевых показателей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организации, осуществляющей деятельность по передаче электрической энергии в Ставропольском крае" (с изменениями, внесенными постановлением региональной тарифной комиссии Ставропольского края</w:t>
      </w:r>
      <w:proofErr w:type="gramEnd"/>
      <w:r>
        <w:t xml:space="preserve"> от 15 ноября 2016 г. N 41/2) следующие изменения:</w:t>
      </w:r>
    </w:p>
    <w:p w:rsidR="00340CCD" w:rsidRDefault="00340CCD">
      <w:pPr>
        <w:pStyle w:val="ConsPlusNonformat"/>
        <w:jc w:val="both"/>
      </w:pPr>
      <w:r>
        <w:t xml:space="preserve">                                           1</w:t>
      </w:r>
    </w:p>
    <w:p w:rsidR="00340CCD" w:rsidRDefault="00340CCD">
      <w:pPr>
        <w:pStyle w:val="ConsPlusNonformat"/>
        <w:jc w:val="both"/>
      </w:pPr>
      <w:r>
        <w:t xml:space="preserve">    1.1. Дополнить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пунктом "1 " следующего содержания:</w:t>
      </w:r>
    </w:p>
    <w:p w:rsidR="00340CCD" w:rsidRDefault="00340CCD">
      <w:pPr>
        <w:pStyle w:val="ConsPlusNonformat"/>
        <w:jc w:val="both"/>
      </w:pPr>
      <w:r>
        <w:t xml:space="preserve">      1</w:t>
      </w:r>
    </w:p>
    <w:p w:rsidR="00340CCD" w:rsidRDefault="00340CCD">
      <w:pPr>
        <w:pStyle w:val="ConsPlusNonformat"/>
        <w:jc w:val="both"/>
      </w:pPr>
      <w:r>
        <w:t xml:space="preserve">    "1 . Утвердить прилагаемые:</w:t>
      </w:r>
    </w:p>
    <w:p w:rsidR="00340CCD" w:rsidRDefault="00340CCD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мероприятий, осуществление которых будет способствовать достижению значений целевых показателей энергосбережения и энергетической эффективности, согласно приложению 3;</w:t>
      </w:r>
    </w:p>
    <w:p w:rsidR="00340CCD" w:rsidRDefault="00340CCD">
      <w:pPr>
        <w:pStyle w:val="ConsPlusNormal"/>
        <w:ind w:firstLine="540"/>
        <w:jc w:val="both"/>
      </w:pPr>
      <w:r>
        <w:t xml:space="preserve">б) форму </w:t>
      </w:r>
      <w:hyperlink w:anchor="P76" w:history="1">
        <w:r>
          <w:rPr>
            <w:color w:val="0000FF"/>
          </w:rPr>
          <w:t>отчета</w:t>
        </w:r>
      </w:hyperlink>
      <w:r>
        <w:t xml:space="preserve"> о фактическом исполнении установленных требований к программе в области энергосбережения и повышения энергетической эффективности согласно приложению 4.".</w:t>
      </w:r>
    </w:p>
    <w:p w:rsidR="00340CCD" w:rsidRDefault="00340CCD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постановлению изложить в новой редакции согласно </w:t>
      </w:r>
      <w:hyperlink w:anchor="P19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40CCD" w:rsidRDefault="00340CCD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right"/>
      </w:pPr>
      <w:r>
        <w:t>Заместитель председателя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С.Г.ГУБСКИЙ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right"/>
        <w:outlineLvl w:val="0"/>
      </w:pPr>
      <w:r>
        <w:t>Утвержден</w:t>
      </w:r>
    </w:p>
    <w:p w:rsidR="00340CCD" w:rsidRDefault="00340CCD">
      <w:pPr>
        <w:pStyle w:val="ConsPlusNormal"/>
        <w:jc w:val="right"/>
      </w:pPr>
      <w:r>
        <w:t>постановлением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от 31 марта 2017 г. N 20/3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right"/>
      </w:pPr>
      <w:r>
        <w:t>"Приложение 3</w:t>
      </w:r>
    </w:p>
    <w:p w:rsidR="00340CCD" w:rsidRDefault="00340CCD">
      <w:pPr>
        <w:pStyle w:val="ConsPlusNormal"/>
        <w:jc w:val="right"/>
      </w:pPr>
      <w:r>
        <w:t>к постановлению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lastRenderedPageBreak/>
        <w:t>Ставропольского края</w:t>
      </w:r>
    </w:p>
    <w:p w:rsidR="00340CCD" w:rsidRDefault="00340CCD">
      <w:pPr>
        <w:pStyle w:val="ConsPlusNormal"/>
        <w:jc w:val="right"/>
      </w:pPr>
      <w:r>
        <w:t>от 13 марта 2012 г. N 15/1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Title"/>
        <w:jc w:val="center"/>
      </w:pPr>
      <w:bookmarkStart w:id="0" w:name="P49"/>
      <w:bookmarkEnd w:id="0"/>
      <w:r>
        <w:t>ПЕРЕЧЕНЬ</w:t>
      </w:r>
    </w:p>
    <w:p w:rsidR="00340CCD" w:rsidRDefault="00340CCD">
      <w:pPr>
        <w:pStyle w:val="ConsPlusTitle"/>
        <w:jc w:val="center"/>
      </w:pPr>
      <w:r>
        <w:t>МЕРОПРИЯТИЙ, ОСУЩЕСТВЛЕНИЕ КОТОРЫХ БУДЕТ СПОСОБСТВОВАТЬ</w:t>
      </w:r>
    </w:p>
    <w:p w:rsidR="00340CCD" w:rsidRDefault="00340CCD">
      <w:pPr>
        <w:pStyle w:val="ConsPlusTitle"/>
        <w:jc w:val="center"/>
      </w:pPr>
      <w:r>
        <w:t>ДОСТИЖЕНИЮ ЗНАЧЕНИЙ ЦЕЛЕВЫХ ПОКАЗАТЕЛЕЙ ЭНЕРГОСБЕРЕЖЕНИЯ</w:t>
      </w:r>
    </w:p>
    <w:p w:rsidR="00340CCD" w:rsidRDefault="00340CCD">
      <w:pPr>
        <w:pStyle w:val="ConsPlusTitle"/>
        <w:jc w:val="center"/>
      </w:pPr>
      <w:r>
        <w:t>И ЭНЕРГЕТИЧЕСКОЙ ЭФФЕКТИВНОСТИ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ind w:firstLine="540"/>
        <w:jc w:val="both"/>
      </w:pPr>
      <w:r>
        <w:t>1. Мероприятия, направленные на повышение уровня загрузки силовых трансформаторов.</w:t>
      </w:r>
    </w:p>
    <w:p w:rsidR="00340CCD" w:rsidRDefault="00340CCD">
      <w:pPr>
        <w:pStyle w:val="ConsPlusNormal"/>
        <w:ind w:firstLine="540"/>
        <w:jc w:val="both"/>
      </w:pPr>
      <w:r>
        <w:t>2. Мероприятия, направленные на сокращение потерь электрической энергии при ее передаче.</w:t>
      </w:r>
    </w:p>
    <w:p w:rsidR="00340CCD" w:rsidRDefault="00340CCD">
      <w:pPr>
        <w:pStyle w:val="ConsPlusNormal"/>
        <w:ind w:firstLine="540"/>
        <w:jc w:val="both"/>
      </w:pPr>
      <w:r>
        <w:t>3. Мероприятия, направленные на снижение трудоемкости процесса передачи электрической энергии.</w:t>
      </w:r>
    </w:p>
    <w:p w:rsidR="00340CCD" w:rsidRDefault="00340CCD">
      <w:pPr>
        <w:pStyle w:val="ConsPlusNormal"/>
        <w:ind w:firstLine="540"/>
        <w:jc w:val="both"/>
      </w:pPr>
      <w:r>
        <w:t xml:space="preserve">4. Мероприятия по совершенствованию систем расчетного и технического учета электроэнергии, направленные на повышение </w:t>
      </w:r>
      <w:proofErr w:type="gramStart"/>
      <w:r>
        <w:t>контроля за</w:t>
      </w:r>
      <w:proofErr w:type="gramEnd"/>
      <w:r>
        <w:t xml:space="preserve"> количеством электроэнергии, поступившей в сеть и отпущенной из сети, с возможностью снятия показаний приборов.</w:t>
      </w:r>
    </w:p>
    <w:p w:rsidR="00340CCD" w:rsidRDefault="00340CCD">
      <w:pPr>
        <w:pStyle w:val="ConsPlusNormal"/>
        <w:ind w:firstLine="540"/>
        <w:jc w:val="both"/>
      </w:pPr>
      <w:r>
        <w:t xml:space="preserve">5. Мероприятия по замене существующих ламп накаливания </w:t>
      </w:r>
      <w:proofErr w:type="gramStart"/>
      <w:r>
        <w:t>на</w:t>
      </w:r>
      <w:proofErr w:type="gramEnd"/>
      <w:r>
        <w:t xml:space="preserve"> светодиодные.".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sectPr w:rsidR="00340CCD" w:rsidSect="00274E0C">
          <w:pgSz w:w="11906" w:h="16838"/>
          <w:pgMar w:top="567" w:right="424" w:bottom="567" w:left="1701" w:header="709" w:footer="709" w:gutter="0"/>
          <w:cols w:space="708"/>
          <w:docGrid w:linePitch="360"/>
        </w:sectPr>
      </w:pPr>
    </w:p>
    <w:p w:rsidR="00340CCD" w:rsidRDefault="00340CCD">
      <w:pPr>
        <w:pStyle w:val="ConsPlusNormal"/>
        <w:jc w:val="right"/>
        <w:outlineLvl w:val="0"/>
      </w:pPr>
      <w:r>
        <w:lastRenderedPageBreak/>
        <w:t>Утвержден</w:t>
      </w:r>
    </w:p>
    <w:p w:rsidR="00340CCD" w:rsidRDefault="00340CCD">
      <w:pPr>
        <w:pStyle w:val="ConsPlusNormal"/>
        <w:jc w:val="right"/>
      </w:pPr>
      <w:r>
        <w:t>постановлением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от 31 марта 2017 г. N 20/3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right"/>
      </w:pPr>
      <w:r>
        <w:t>"Приложение 4</w:t>
      </w:r>
    </w:p>
    <w:p w:rsidR="00340CCD" w:rsidRDefault="00340CCD">
      <w:pPr>
        <w:pStyle w:val="ConsPlusNormal"/>
        <w:jc w:val="right"/>
      </w:pPr>
      <w:r>
        <w:t>к постановлению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от 13 марта 2012 г. N 15/1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nformat"/>
        <w:jc w:val="both"/>
      </w:pPr>
      <w:bookmarkStart w:id="1" w:name="P76"/>
      <w:bookmarkEnd w:id="1"/>
      <w:r>
        <w:t xml:space="preserve">                                   ОТЧЕТ</w:t>
      </w:r>
    </w:p>
    <w:p w:rsidR="00340CCD" w:rsidRDefault="00340CCD">
      <w:pPr>
        <w:pStyle w:val="ConsPlusNonformat"/>
        <w:jc w:val="both"/>
      </w:pPr>
      <w:r>
        <w:t xml:space="preserve">                   об исполнении требований к программе</w:t>
      </w:r>
    </w:p>
    <w:p w:rsidR="00340CCD" w:rsidRDefault="00340CCD">
      <w:pPr>
        <w:pStyle w:val="ConsPlusNonformat"/>
        <w:jc w:val="both"/>
      </w:pPr>
      <w:r>
        <w:t xml:space="preserve">                  в области энергосбережения и повышения</w:t>
      </w:r>
    </w:p>
    <w:p w:rsidR="00340CCD" w:rsidRDefault="00340CCD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340CCD" w:rsidRDefault="00340CCD">
      <w:pPr>
        <w:pStyle w:val="ConsPlusNonformat"/>
        <w:jc w:val="both"/>
      </w:pPr>
      <w:r>
        <w:t xml:space="preserve">                 _________________________________________</w:t>
      </w:r>
    </w:p>
    <w:p w:rsidR="00340CCD" w:rsidRDefault="00340CCD">
      <w:pPr>
        <w:pStyle w:val="ConsPlusNonformat"/>
        <w:jc w:val="both"/>
      </w:pPr>
      <w:r>
        <w:t xml:space="preserve">                  (наименование регулируемой организации)</w:t>
      </w:r>
    </w:p>
    <w:p w:rsidR="00340CCD" w:rsidRDefault="00340C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101"/>
        <w:gridCol w:w="850"/>
        <w:gridCol w:w="1474"/>
        <w:gridCol w:w="2041"/>
        <w:gridCol w:w="850"/>
        <w:gridCol w:w="794"/>
        <w:gridCol w:w="850"/>
        <w:gridCol w:w="1304"/>
        <w:gridCol w:w="964"/>
      </w:tblGrid>
      <w:tr w:rsidR="00340CCD">
        <w:tc>
          <w:tcPr>
            <w:tcW w:w="576" w:type="dxa"/>
            <w:vMerge w:val="restart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1" w:type="dxa"/>
            <w:vMerge w:val="restart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Показатель энергосбережения и повышения энергетической эффективности</w:t>
            </w:r>
          </w:p>
        </w:tc>
        <w:tc>
          <w:tcPr>
            <w:tcW w:w="850" w:type="dxa"/>
            <w:vMerge w:val="restart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Значение показателя на год, предшествующий отчетному периоду</w:t>
            </w:r>
          </w:p>
        </w:tc>
        <w:tc>
          <w:tcPr>
            <w:tcW w:w="2041" w:type="dxa"/>
            <w:vMerge w:val="restart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Наименование мероприятия по энергосбережению и повышению энергетической эффективности для достижения целевого показателя</w:t>
            </w:r>
          </w:p>
        </w:tc>
        <w:tc>
          <w:tcPr>
            <w:tcW w:w="1644" w:type="dxa"/>
            <w:gridSpan w:val="2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Значение целевого показателя в отчетном году реализации программы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04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Объем вложенных средств (тыс. руб.)</w:t>
            </w:r>
          </w:p>
        </w:tc>
        <w:tc>
          <w:tcPr>
            <w:tcW w:w="964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Планируемый период окупаемости</w:t>
            </w:r>
          </w:p>
        </w:tc>
      </w:tr>
      <w:tr w:rsidR="00340CCD">
        <w:tc>
          <w:tcPr>
            <w:tcW w:w="576" w:type="dxa"/>
            <w:vMerge/>
          </w:tcPr>
          <w:p w:rsidR="00340CCD" w:rsidRDefault="00340CCD"/>
        </w:tc>
        <w:tc>
          <w:tcPr>
            <w:tcW w:w="3101" w:type="dxa"/>
            <w:vMerge/>
          </w:tcPr>
          <w:p w:rsidR="00340CCD" w:rsidRDefault="00340CCD"/>
        </w:tc>
        <w:tc>
          <w:tcPr>
            <w:tcW w:w="850" w:type="dxa"/>
            <w:vMerge/>
          </w:tcPr>
          <w:p w:rsidR="00340CCD" w:rsidRDefault="00340CCD"/>
        </w:tc>
        <w:tc>
          <w:tcPr>
            <w:tcW w:w="1474" w:type="dxa"/>
            <w:vMerge/>
          </w:tcPr>
          <w:p w:rsidR="00340CCD" w:rsidRDefault="00340CCD"/>
        </w:tc>
        <w:tc>
          <w:tcPr>
            <w:tcW w:w="2041" w:type="dxa"/>
            <w:vMerge/>
          </w:tcPr>
          <w:p w:rsidR="00340CCD" w:rsidRDefault="00340CCD"/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40CCD" w:rsidRDefault="00340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40CCD" w:rsidRDefault="00340C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40CCD" w:rsidRDefault="00340C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40CCD" w:rsidRDefault="00340C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40CCD" w:rsidRDefault="00340C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40CCD" w:rsidRDefault="00340CCD">
            <w:pPr>
              <w:pStyle w:val="ConsPlusNormal"/>
              <w:jc w:val="center"/>
            </w:pPr>
            <w:r>
              <w:t>10</w:t>
            </w: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Доля технических средств учета и регулирования расхода энергоресурсов, в том числе автоматизированной системы коммерческого учета электроэнергии (фиксирующих отпуск электроэнергии в сеть потребителей)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Доля расчетных средств учета электрической энергии, расчеты по которым осуществляются с использованием систем дистанционного снятия показаний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</w:pPr>
          </w:p>
        </w:tc>
      </w:tr>
      <w:tr w:rsidR="00340CCD">
        <w:tc>
          <w:tcPr>
            <w:tcW w:w="576" w:type="dxa"/>
          </w:tcPr>
          <w:p w:rsidR="00340CCD" w:rsidRDefault="00340C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01" w:type="dxa"/>
          </w:tcPr>
          <w:p w:rsidR="00340CCD" w:rsidRDefault="00340CCD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850" w:type="dxa"/>
            <w:vAlign w:val="center"/>
          </w:tcPr>
          <w:p w:rsidR="00340CCD" w:rsidRDefault="00340C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2041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79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850" w:type="dxa"/>
          </w:tcPr>
          <w:p w:rsidR="00340CCD" w:rsidRDefault="00340CCD">
            <w:pPr>
              <w:pStyle w:val="ConsPlusNormal"/>
            </w:pPr>
          </w:p>
        </w:tc>
        <w:tc>
          <w:tcPr>
            <w:tcW w:w="1304" w:type="dxa"/>
          </w:tcPr>
          <w:p w:rsidR="00340CCD" w:rsidRDefault="00340CCD">
            <w:pPr>
              <w:pStyle w:val="ConsPlusNormal"/>
            </w:pPr>
          </w:p>
        </w:tc>
        <w:tc>
          <w:tcPr>
            <w:tcW w:w="964" w:type="dxa"/>
          </w:tcPr>
          <w:p w:rsidR="00340CCD" w:rsidRDefault="00340CCD">
            <w:pPr>
              <w:pStyle w:val="ConsPlusNormal"/>
              <w:jc w:val="center"/>
            </w:pPr>
            <w:r>
              <w:t>".</w:t>
            </w:r>
          </w:p>
        </w:tc>
      </w:tr>
    </w:tbl>
    <w:p w:rsidR="00340CCD" w:rsidRDefault="00340CCD">
      <w:pPr>
        <w:sectPr w:rsidR="00340CCD">
          <w:pgSz w:w="16838" w:h="11905" w:orient="landscape"/>
          <w:pgMar w:top="1701" w:right="567" w:bottom="424" w:left="567" w:header="0" w:footer="0" w:gutter="0"/>
          <w:cols w:space="720"/>
        </w:sectPr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right"/>
        <w:outlineLvl w:val="0"/>
      </w:pPr>
      <w:r>
        <w:t>Приложение</w:t>
      </w:r>
    </w:p>
    <w:p w:rsidR="00340CCD" w:rsidRDefault="00340CCD">
      <w:pPr>
        <w:pStyle w:val="ConsPlusNormal"/>
        <w:jc w:val="right"/>
      </w:pPr>
      <w:r>
        <w:t>к постановлению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от 31 марта 2017 г. N 20/3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right"/>
      </w:pPr>
      <w:r>
        <w:t>"Приложение 1</w:t>
      </w:r>
    </w:p>
    <w:p w:rsidR="00340CCD" w:rsidRDefault="00340CCD">
      <w:pPr>
        <w:pStyle w:val="ConsPlusNormal"/>
        <w:jc w:val="right"/>
      </w:pPr>
      <w:r>
        <w:t>к постановлению</w:t>
      </w:r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от 13 марта 2012 г. N 15/1</w:t>
      </w:r>
    </w:p>
    <w:p w:rsidR="00340CCD" w:rsidRDefault="00340CCD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40CCD" w:rsidRDefault="00340CCD">
      <w:pPr>
        <w:pStyle w:val="ConsPlusNormal"/>
        <w:jc w:val="right"/>
      </w:pPr>
      <w:r>
        <w:t>региональной тарифной комиссии</w:t>
      </w:r>
    </w:p>
    <w:p w:rsidR="00340CCD" w:rsidRDefault="00340CCD">
      <w:pPr>
        <w:pStyle w:val="ConsPlusNormal"/>
        <w:jc w:val="right"/>
      </w:pPr>
      <w:r>
        <w:t>Ставропольского края</w:t>
      </w:r>
    </w:p>
    <w:p w:rsidR="00340CCD" w:rsidRDefault="00340CCD">
      <w:pPr>
        <w:pStyle w:val="ConsPlusNormal"/>
        <w:jc w:val="right"/>
      </w:pPr>
      <w:r>
        <w:t>от 31 марта 2017 г. N 20/3)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center"/>
      </w:pPr>
      <w:bookmarkStart w:id="2" w:name="P198"/>
      <w:bookmarkEnd w:id="2"/>
      <w:r>
        <w:t>ЦЕЛЕВЫЕ ПОКАЗАТЕЛИ</w:t>
      </w:r>
    </w:p>
    <w:p w:rsidR="00340CCD" w:rsidRDefault="00340CCD">
      <w:pPr>
        <w:pStyle w:val="ConsPlusNormal"/>
        <w:jc w:val="center"/>
      </w:pPr>
      <w:r>
        <w:t>ЭНЕРГОСБЕРЕЖЕНИЯ И ПОВЫШЕНИЯ ЭНЕРГЕТИЧЕСКОЙ ЭФФЕКТИВНОСТИ,</w:t>
      </w:r>
    </w:p>
    <w:p w:rsidR="00340CCD" w:rsidRDefault="00340CCD">
      <w:pPr>
        <w:pStyle w:val="ConsPlusNormal"/>
        <w:jc w:val="center"/>
      </w:pPr>
      <w:proofErr w:type="gramStart"/>
      <w:r>
        <w:t>ДОСТИЖЕНИЕ</w:t>
      </w:r>
      <w:proofErr w:type="gramEnd"/>
      <w:r>
        <w:t xml:space="preserve"> КОТОРЫХ ДОЛЖНО БЫТЬ ОБЕСПЕЧЕНО В ХОДЕ РЕАЛИЗАЦИИ</w:t>
      </w:r>
    </w:p>
    <w:p w:rsidR="00340CCD" w:rsidRDefault="00340CCD">
      <w:pPr>
        <w:pStyle w:val="ConsPlusNormal"/>
        <w:jc w:val="center"/>
      </w:pPr>
      <w:r>
        <w:t>ПРОГРАММЫ В ОБЛАСТИ ЭНЕРГОСБЕРЕЖЕНИЯ И ПОВЫШЕНИЯ</w:t>
      </w:r>
    </w:p>
    <w:p w:rsidR="00340CCD" w:rsidRDefault="00340CCD">
      <w:pPr>
        <w:pStyle w:val="ConsPlusNormal"/>
        <w:jc w:val="center"/>
      </w:pPr>
      <w:r>
        <w:t>ЭНЕРГЕТИЧЕСКОЙ ЭФФЕКТИВНОСТИ ОРГАНИЗАЦИИ, ОСУЩЕСТВЛЯЮЩЕЙ</w:t>
      </w:r>
    </w:p>
    <w:p w:rsidR="00340CCD" w:rsidRDefault="00340CCD">
      <w:pPr>
        <w:pStyle w:val="ConsPlusNormal"/>
        <w:jc w:val="center"/>
      </w:pPr>
      <w:r>
        <w:t>ДЕЯТЕЛЬНОСТЬ ПО ПЕРЕДАЧЕ ЭЛЕКТРИЧЕСКОЙ ЭНЕРГИИ</w:t>
      </w: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ind w:firstLine="540"/>
        <w:jc w:val="both"/>
      </w:pPr>
      <w:r>
        <w:t>1. Уровень загрузки силовых трансформаторов</w:t>
      </w:r>
      <w:proofErr w:type="gramStart"/>
      <w:r>
        <w:t xml:space="preserve"> (%).</w:t>
      </w:r>
      <w:proofErr w:type="gramEnd"/>
    </w:p>
    <w:p w:rsidR="00340CCD" w:rsidRDefault="00340CCD">
      <w:pPr>
        <w:pStyle w:val="ConsPlusNormal"/>
        <w:ind w:firstLine="540"/>
        <w:jc w:val="both"/>
      </w:pPr>
      <w:r>
        <w:t>Значение целевого показателя рассчитывается как отношение фактической максимальной величины потребленной мощности в режимные (летний и зимний) дни года к суммарной номинальной мощности трансформаторов, находящихся в эксплуатации, без учета резервной мощности, выраженное в процентах.</w:t>
      </w:r>
    </w:p>
    <w:p w:rsidR="00340CCD" w:rsidRDefault="00340CCD">
      <w:pPr>
        <w:pStyle w:val="ConsPlusNormal"/>
        <w:ind w:firstLine="540"/>
        <w:jc w:val="both"/>
      </w:pPr>
      <w:r>
        <w:t>2. Уровень потерь электрической энергии при ее передаче по электрическим сетям</w:t>
      </w:r>
      <w:proofErr w:type="gramStart"/>
      <w:r>
        <w:t xml:space="preserve"> (%).</w:t>
      </w:r>
      <w:proofErr w:type="gramEnd"/>
    </w:p>
    <w:p w:rsidR="00340CCD" w:rsidRDefault="00340CCD">
      <w:pPr>
        <w:pStyle w:val="ConsPlusNormal"/>
        <w:ind w:firstLine="540"/>
        <w:jc w:val="both"/>
      </w:pPr>
      <w:r>
        <w:t>Значение целевого показателя рассчитывается как отношение объема потерь электрической энергии при ее передаче по электрическим сетям (кВтч) к объему электрической энергии, поступившей в сеть (кВтч), выраженное в процентах.</w:t>
      </w:r>
    </w:p>
    <w:p w:rsidR="00340CCD" w:rsidRDefault="00340CCD">
      <w:pPr>
        <w:pStyle w:val="ConsPlusNormal"/>
        <w:ind w:firstLine="540"/>
        <w:jc w:val="both"/>
      </w:pPr>
      <w:r>
        <w:t>3. Эффективность использования производственных мощностей (тыс. кВтч/усл.ед.).</w:t>
      </w:r>
    </w:p>
    <w:p w:rsidR="00340CCD" w:rsidRDefault="00340CCD">
      <w:pPr>
        <w:pStyle w:val="ConsPlusNormal"/>
        <w:ind w:firstLine="540"/>
        <w:jc w:val="both"/>
      </w:pPr>
      <w:proofErr w:type="gramStart"/>
      <w:r>
        <w:t xml:space="preserve">Значение целевого показателя рассчитывается как отношение величины передаваемой энергии (кВтч) к величине энергетического оборудования и сетей, выраженных в условных единицах, рассчитанных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20-э/2.</w:t>
      </w:r>
      <w:proofErr w:type="gramEnd"/>
    </w:p>
    <w:p w:rsidR="00340CCD" w:rsidRDefault="00340CCD">
      <w:pPr>
        <w:pStyle w:val="ConsPlusNormal"/>
        <w:ind w:firstLine="540"/>
        <w:jc w:val="both"/>
      </w:pPr>
      <w:r>
        <w:t>4. Эффективность использования персонала (трудоемкость производства) (чел./усл.ед.).</w:t>
      </w:r>
    </w:p>
    <w:p w:rsidR="00340CCD" w:rsidRDefault="00340CCD">
      <w:pPr>
        <w:pStyle w:val="ConsPlusNormal"/>
        <w:ind w:firstLine="540"/>
        <w:jc w:val="both"/>
      </w:pPr>
      <w:r>
        <w:t>Значение целевого показателя рассчитывается как соотношение среднесписочной численности к величине энергетического оборудования и сетей, выраженной в условных единицах.</w:t>
      </w:r>
    </w:p>
    <w:p w:rsidR="00340CCD" w:rsidRDefault="00340CCD">
      <w:pPr>
        <w:pStyle w:val="ConsPlusNormal"/>
        <w:ind w:firstLine="540"/>
        <w:jc w:val="both"/>
      </w:pPr>
      <w:r>
        <w:t>5. 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</w:r>
      <w:proofErr w:type="gramStart"/>
      <w:r>
        <w:t xml:space="preserve"> (%).</w:t>
      </w:r>
      <w:proofErr w:type="gramEnd"/>
    </w:p>
    <w:p w:rsidR="00340CCD" w:rsidRDefault="00340CCD">
      <w:pPr>
        <w:pStyle w:val="ConsPlusNormal"/>
        <w:ind w:firstLine="540"/>
        <w:jc w:val="both"/>
      </w:pPr>
      <w:proofErr w:type="gramStart"/>
      <w:r>
        <w:t>Значение целевого показателя рассчитывается как отношение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данных, к общему количеству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затраты на содержание которых включены в состав единых (котловых) тарифов на услуги</w:t>
      </w:r>
      <w:proofErr w:type="gramEnd"/>
      <w:r>
        <w:t xml:space="preserve"> по передаче электрической энергии по распределительным сетям Ставропольского края, </w:t>
      </w:r>
      <w:proofErr w:type="gramStart"/>
      <w:r>
        <w:t>выраженное</w:t>
      </w:r>
      <w:proofErr w:type="gramEnd"/>
      <w:r>
        <w:t xml:space="preserve"> в процентах.</w:t>
      </w:r>
    </w:p>
    <w:p w:rsidR="00340CCD" w:rsidRDefault="00340CCD">
      <w:pPr>
        <w:pStyle w:val="ConsPlusNormal"/>
        <w:ind w:firstLine="540"/>
        <w:jc w:val="both"/>
      </w:pPr>
      <w:r>
        <w:t xml:space="preserve">6. Доля точек поставки электрической энергии потребителям (юридическим и физическим </w:t>
      </w:r>
      <w:r>
        <w:lastRenderedPageBreak/>
        <w:t>лицам), оборудованных приборами учета с возможностью дистанционного сбора данных</w:t>
      </w:r>
      <w:proofErr w:type="gramStart"/>
      <w:r>
        <w:t xml:space="preserve"> (%).</w:t>
      </w:r>
      <w:proofErr w:type="gramEnd"/>
    </w:p>
    <w:p w:rsidR="00340CCD" w:rsidRDefault="00340CCD">
      <w:pPr>
        <w:pStyle w:val="ConsPlusNormal"/>
        <w:ind w:firstLine="540"/>
        <w:jc w:val="both"/>
      </w:pPr>
      <w:r>
        <w:t>Значение целевого показателя рассчитывается отношение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данных, к общему количеству точек поставки, выраженное в процентах.</w:t>
      </w:r>
    </w:p>
    <w:p w:rsidR="00340CCD" w:rsidRDefault="00340CCD">
      <w:pPr>
        <w:pStyle w:val="ConsPlusNormal"/>
        <w:ind w:firstLine="540"/>
        <w:jc w:val="both"/>
      </w:pPr>
      <w:r>
        <w:t>7. Доля осветительных устройств с использованием светодиодов в общем объеме осветительных устройств</w:t>
      </w:r>
      <w:proofErr w:type="gramStart"/>
      <w:r>
        <w:t xml:space="preserve"> (%).</w:t>
      </w:r>
      <w:proofErr w:type="gramEnd"/>
    </w:p>
    <w:p w:rsidR="00340CCD" w:rsidRDefault="00340CCD">
      <w:pPr>
        <w:pStyle w:val="ConsPlusNormal"/>
        <w:ind w:firstLine="540"/>
        <w:jc w:val="both"/>
      </w:pPr>
      <w:r>
        <w:t>Значение целевого показателя рассчитывается в целом по организации как отношение объема осветительных устройств с использованием светодиодов к общему объему осветительных устройств, выраженное в процентах</w:t>
      </w:r>
      <w:proofErr w:type="gramStart"/>
      <w:r>
        <w:t>.".</w:t>
      </w:r>
      <w:proofErr w:type="gramEnd"/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jc w:val="both"/>
      </w:pPr>
    </w:p>
    <w:p w:rsidR="00340CCD" w:rsidRDefault="00340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193" w:rsidRDefault="00263193">
      <w:bookmarkStart w:id="3" w:name="_GoBack"/>
      <w:bookmarkEnd w:id="3"/>
    </w:p>
    <w:sectPr w:rsidR="00263193" w:rsidSect="000109E7">
      <w:pgSz w:w="11905" w:h="16838"/>
      <w:pgMar w:top="567" w:right="42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CD"/>
    <w:rsid w:val="00263193"/>
    <w:rsid w:val="00340CCD"/>
    <w:rsid w:val="006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7565F01604B5E4A22CD32B5DED63EC403013353B5B74D3065FFC5305D8B8615qAu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7565F01604B5E4A22CD32B5DED63EC403013353B5B74D3065FFC5305D8B8615qAu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565F01604B5E4A22CD32B5DED63EC403013353B4B24F3467FFC5305D8B8615A6C98549D6C90C72FAB4EFqBuF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DF7565F01604B5E4A22D33FA3B28834C20E5D3A50B7BF1B6A33F9926F0D8DD355E6CFD00A92C40Cq7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7565F01604B5E4A22CD32B5DED63EC403013353B5B74D3065FFC5305D8B8615A6C98549D6C90C72FAB4EEqB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2017-04-18T11:46:00Z</dcterms:created>
  <dcterms:modified xsi:type="dcterms:W3CDTF">2017-04-18T11:48:00Z</dcterms:modified>
</cp:coreProperties>
</file>