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23" w:rsidRDefault="00DA172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A1723" w:rsidRDefault="00DA1723">
      <w:pPr>
        <w:pStyle w:val="ConsPlusNormal"/>
        <w:jc w:val="both"/>
        <w:outlineLvl w:val="0"/>
      </w:pPr>
    </w:p>
    <w:p w:rsidR="00DA1723" w:rsidRDefault="00DA1723">
      <w:pPr>
        <w:pStyle w:val="ConsPlusTitle"/>
        <w:jc w:val="center"/>
        <w:outlineLvl w:val="0"/>
      </w:pPr>
      <w:r>
        <w:t>РЕГИОНАЛЬНАЯ ТАРИФНАЯ КОМИССИЯ</w:t>
      </w:r>
    </w:p>
    <w:p w:rsidR="00DA1723" w:rsidRDefault="00DA1723">
      <w:pPr>
        <w:pStyle w:val="ConsPlusTitle"/>
        <w:jc w:val="center"/>
      </w:pPr>
      <w:r>
        <w:t>СТАВРОПОЛЬСКОГО КРАЯ</w:t>
      </w:r>
    </w:p>
    <w:p w:rsidR="00DA1723" w:rsidRDefault="00DA1723">
      <w:pPr>
        <w:pStyle w:val="ConsPlusTitle"/>
        <w:jc w:val="both"/>
      </w:pPr>
    </w:p>
    <w:p w:rsidR="00DA1723" w:rsidRDefault="00DA1723">
      <w:pPr>
        <w:pStyle w:val="ConsPlusTitle"/>
        <w:jc w:val="center"/>
      </w:pPr>
      <w:r>
        <w:t>ПОСТАНОВЛЕНИЕ</w:t>
      </w:r>
    </w:p>
    <w:p w:rsidR="00DA1723" w:rsidRDefault="00DA1723">
      <w:pPr>
        <w:pStyle w:val="ConsPlusTitle"/>
        <w:jc w:val="center"/>
      </w:pPr>
      <w:r>
        <w:t>от 25 августа 2020 г. N 50</w:t>
      </w:r>
    </w:p>
    <w:p w:rsidR="00DA1723" w:rsidRDefault="00DA1723">
      <w:pPr>
        <w:pStyle w:val="ConsPlusTitle"/>
        <w:jc w:val="both"/>
      </w:pPr>
    </w:p>
    <w:p w:rsidR="00DA1723" w:rsidRDefault="00DA1723">
      <w:pPr>
        <w:pStyle w:val="ConsPlusTitle"/>
        <w:jc w:val="center"/>
      </w:pPr>
      <w:r>
        <w:t>О ВНЕСЕНИИ ИЗМЕНЕНИЙ В ПРИЛОЖЕНИЯ К ПОСТАНОВЛЕНИЮ</w:t>
      </w:r>
    </w:p>
    <w:p w:rsidR="00DA1723" w:rsidRDefault="00DA1723">
      <w:pPr>
        <w:pStyle w:val="ConsPlusTitle"/>
        <w:jc w:val="center"/>
      </w:pPr>
      <w:r>
        <w:t>РЕГИОНАЛЬНОЙ ТАРИФНОЙ КОМИССИИ СТАВРОПОЛЬСКОГО КРАЯ</w:t>
      </w:r>
    </w:p>
    <w:p w:rsidR="00DA1723" w:rsidRDefault="00DA1723">
      <w:pPr>
        <w:pStyle w:val="ConsPlusTitle"/>
        <w:jc w:val="center"/>
      </w:pPr>
      <w:r>
        <w:t>ОТ 24 ДЕКАБРЯ 2019 Г. N 74/11 "ОБ УСТАНОВЛЕНИИ</w:t>
      </w:r>
    </w:p>
    <w:p w:rsidR="00DA1723" w:rsidRDefault="00DA1723">
      <w:pPr>
        <w:pStyle w:val="ConsPlusTitle"/>
        <w:jc w:val="center"/>
      </w:pPr>
      <w:r>
        <w:t>СТАНДАРТИЗИРОВАННЫХ ТАРИФНЫХ СТАВОК, СТАВОК ЗА ЕДИНИЦУ</w:t>
      </w:r>
    </w:p>
    <w:p w:rsidR="00DA1723" w:rsidRDefault="00DA1723">
      <w:pPr>
        <w:pStyle w:val="ConsPlusTitle"/>
        <w:jc w:val="center"/>
      </w:pPr>
      <w:r>
        <w:t>МАКСИМАЛЬНОЙ МОЩНОСТИ И ФОРМУЛ ДЛЯ РАСЧЕТА РАЗМЕРА ПЛАТЫ</w:t>
      </w:r>
    </w:p>
    <w:p w:rsidR="00DA1723" w:rsidRDefault="00DA1723">
      <w:pPr>
        <w:pStyle w:val="ConsPlusTitle"/>
        <w:jc w:val="center"/>
      </w:pPr>
      <w:r>
        <w:t>ЗА ТЕХНОЛОГИЧЕСКОЕ ПРИСОЕДИНЕНИЕ ЭНЕРГОПРИНИМАЮЩИХ УСТРОЙСТВ</w:t>
      </w:r>
    </w:p>
    <w:p w:rsidR="00DA1723" w:rsidRDefault="00DA1723">
      <w:pPr>
        <w:pStyle w:val="ConsPlusTitle"/>
        <w:jc w:val="center"/>
      </w:pPr>
      <w:r>
        <w:t>ЗАЯВИТЕЛЕЙ К ОБЪЕКТАМ ЭЛЕКТРОСЕТЕВОГО ХОЗЯЙСТВА</w:t>
      </w:r>
    </w:p>
    <w:p w:rsidR="00DA1723" w:rsidRDefault="00DA1723">
      <w:pPr>
        <w:pStyle w:val="ConsPlusTitle"/>
        <w:jc w:val="center"/>
      </w:pPr>
      <w:r>
        <w:t>ТЕРРИТОРИАЛЬНЫХ СЕТЕВЫХ ОРГАНИЗАЦИЙ СТАВРОПОЛЬСКОГО КРАЯ</w:t>
      </w:r>
    </w:p>
    <w:p w:rsidR="00DA1723" w:rsidRDefault="00DA1723">
      <w:pPr>
        <w:pStyle w:val="ConsPlusTitle"/>
        <w:jc w:val="center"/>
      </w:pPr>
      <w:r>
        <w:t xml:space="preserve">НА 2020 ГОД И О ПРИЗНАНИИ </w:t>
      </w:r>
      <w:proofErr w:type="gramStart"/>
      <w:r>
        <w:t>УТРАТИВШИМ</w:t>
      </w:r>
      <w:proofErr w:type="gramEnd"/>
      <w:r>
        <w:t xml:space="preserve"> СИЛУ ПОСТАНОВЛЕНИЯ</w:t>
      </w:r>
    </w:p>
    <w:p w:rsidR="00DA1723" w:rsidRDefault="00DA1723">
      <w:pPr>
        <w:pStyle w:val="ConsPlusTitle"/>
        <w:jc w:val="center"/>
      </w:pPr>
      <w:r>
        <w:t>РЕГИОНАЛЬНОЙ ТАРИФНОЙ КОМИССИИ СТАВРОПОЛЬСКОГО КРАЯ</w:t>
      </w:r>
    </w:p>
    <w:p w:rsidR="00DA1723" w:rsidRDefault="00DA1723">
      <w:pPr>
        <w:pStyle w:val="ConsPlusTitle"/>
        <w:jc w:val="center"/>
      </w:pPr>
      <w:r>
        <w:t>ОТ 26 ДЕКАБРЯ 2018 Г. N 60/8"</w:t>
      </w:r>
    </w:p>
    <w:p w:rsidR="00DA1723" w:rsidRDefault="00DA1723">
      <w:pPr>
        <w:pStyle w:val="ConsPlusNormal"/>
        <w:jc w:val="both"/>
      </w:pPr>
    </w:p>
    <w:p w:rsidR="00DA1723" w:rsidRDefault="00DA1723">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"Об электроэнергетике", </w:t>
      </w:r>
      <w:hyperlink r:id="rId7"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w:t>
      </w:r>
      <w:hyperlink r:id="rId8"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w:t>
      </w:r>
      <w:proofErr w:type="gramEnd"/>
      <w:r>
        <w:t xml:space="preserve"> </w:t>
      </w:r>
      <w:proofErr w:type="gramStart"/>
      <w:r>
        <w:t xml:space="preserve">27 декабря 2004 г. N 861, Методическими </w:t>
      </w:r>
      <w:hyperlink r:id="rId9" w:history="1">
        <w:r>
          <w:rPr>
            <w:color w:val="0000FF"/>
          </w:rPr>
          <w:t>указаниями</w:t>
        </w:r>
      </w:hyperlink>
      <w:r>
        <w:t xml:space="preserve"> по определению размера платы за технологическое присоединение к электрическим сетям, утвержденными приказом Федеральной антимонопольной службы от 29 августа 2017 г. N 1135/17, и на основании </w:t>
      </w:r>
      <w:hyperlink r:id="rId10" w:history="1">
        <w:r>
          <w:rPr>
            <w:color w:val="0000FF"/>
          </w:rPr>
          <w:t>Положения</w:t>
        </w:r>
      </w:hyperlink>
      <w:r>
        <w:t xml:space="preserve"> о региональной тарифной комиссии Ставропольского края, утвержденного постановлением Правительства Ставропольского края от 19 декабря 2011 г. N 495-п, региональная тарифная комиссия Ставропольского края постановляет:</w:t>
      </w:r>
      <w:proofErr w:type="gramEnd"/>
    </w:p>
    <w:p w:rsidR="00DA1723" w:rsidRDefault="00DA1723">
      <w:pPr>
        <w:pStyle w:val="ConsPlusNormal"/>
        <w:jc w:val="both"/>
      </w:pPr>
    </w:p>
    <w:p w:rsidR="00DA1723" w:rsidRDefault="00DA1723">
      <w:pPr>
        <w:pStyle w:val="ConsPlusNormal"/>
        <w:ind w:firstLine="540"/>
        <w:jc w:val="both"/>
      </w:pPr>
      <w:r>
        <w:t xml:space="preserve">1. </w:t>
      </w:r>
      <w:proofErr w:type="gramStart"/>
      <w:r>
        <w:t xml:space="preserve">Внести в </w:t>
      </w:r>
      <w:hyperlink r:id="rId11" w:history="1">
        <w:r>
          <w:rPr>
            <w:color w:val="0000FF"/>
          </w:rPr>
          <w:t>приложения</w:t>
        </w:r>
      </w:hyperlink>
      <w:r>
        <w:t xml:space="preserve"> к постановлению региональной тарифной комиссии Ставропольского края от 24 декабря 2019 г. N 74/11 "Об установлении стандартизированных тарифных ставок, ставок за единицу максимальной мощности и формул для расчета размера платы за технологическое присоединение </w:t>
      </w:r>
      <w:proofErr w:type="spellStart"/>
      <w:r>
        <w:t>энергопринимающих</w:t>
      </w:r>
      <w:proofErr w:type="spellEnd"/>
      <w:r>
        <w:t xml:space="preserve"> устройств заявителей к объектам электросетевого хозяйства территориальных сетевых организаций Ставропольского края на 2020 год и о признании утратившим силу постановления региональной тарифной</w:t>
      </w:r>
      <w:proofErr w:type="gramEnd"/>
      <w:r>
        <w:t xml:space="preserve"> комиссии Ставропольского края от 26 декабря 2018 г. N 60/8" следующие изменения:</w:t>
      </w:r>
    </w:p>
    <w:p w:rsidR="00DA1723" w:rsidRDefault="00DA1723">
      <w:pPr>
        <w:pStyle w:val="ConsPlusNormal"/>
        <w:spacing w:before="220"/>
        <w:ind w:firstLine="540"/>
        <w:jc w:val="both"/>
      </w:pPr>
      <w:r>
        <w:t xml:space="preserve">1.1. </w:t>
      </w:r>
      <w:hyperlink r:id="rId12" w:history="1">
        <w:r>
          <w:rPr>
            <w:color w:val="0000FF"/>
          </w:rPr>
          <w:t>Таблицу 2</w:t>
        </w:r>
      </w:hyperlink>
      <w:r>
        <w:t xml:space="preserve"> приложения 1 дополнить пунктом 4 согласно </w:t>
      </w:r>
      <w:hyperlink w:anchor="P57" w:history="1">
        <w:r>
          <w:rPr>
            <w:color w:val="0000FF"/>
          </w:rPr>
          <w:t>приложению 1</w:t>
        </w:r>
      </w:hyperlink>
      <w:r>
        <w:t xml:space="preserve"> к настоящему постановлению.</w:t>
      </w:r>
    </w:p>
    <w:p w:rsidR="00DA1723" w:rsidRDefault="00DA1723">
      <w:pPr>
        <w:pStyle w:val="ConsPlusNormal"/>
        <w:spacing w:before="220"/>
        <w:ind w:firstLine="540"/>
        <w:jc w:val="both"/>
      </w:pPr>
      <w:r>
        <w:t xml:space="preserve">1.2. </w:t>
      </w:r>
      <w:hyperlink r:id="rId13" w:history="1">
        <w:r>
          <w:rPr>
            <w:color w:val="0000FF"/>
          </w:rPr>
          <w:t>Приложение 2</w:t>
        </w:r>
      </w:hyperlink>
      <w:r>
        <w:t xml:space="preserve"> дополнить пунктом 3 следующего содержания:</w:t>
      </w:r>
    </w:p>
    <w:p w:rsidR="00DA1723" w:rsidRDefault="00DA1723">
      <w:pPr>
        <w:pStyle w:val="ConsPlusNormal"/>
        <w:spacing w:before="220"/>
        <w:jc w:val="both"/>
      </w:pPr>
      <w:r>
        <w:t>"</w:t>
      </w:r>
    </w:p>
    <w:p w:rsidR="00DA1723" w:rsidRDefault="00DA172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82"/>
        <w:gridCol w:w="4309"/>
        <w:gridCol w:w="1116"/>
        <w:gridCol w:w="1127"/>
      </w:tblGrid>
      <w:tr w:rsidR="00DA1723">
        <w:tc>
          <w:tcPr>
            <w:tcW w:w="737" w:type="dxa"/>
            <w:vAlign w:val="center"/>
          </w:tcPr>
          <w:p w:rsidR="00DA1723" w:rsidRDefault="00DA1723">
            <w:pPr>
              <w:pStyle w:val="ConsPlusNormal"/>
              <w:jc w:val="center"/>
            </w:pPr>
            <w:r>
              <w:t>3.</w:t>
            </w:r>
          </w:p>
        </w:tc>
        <w:tc>
          <w:tcPr>
            <w:tcW w:w="8334" w:type="dxa"/>
            <w:gridSpan w:val="4"/>
          </w:tcPr>
          <w:p w:rsidR="00DA1723" w:rsidRDefault="00DA1723">
            <w:pPr>
              <w:pStyle w:val="ConsPlusNormal"/>
              <w:jc w:val="both"/>
            </w:pPr>
            <w:r>
              <w:t>Обеспечение средствами коммерческого учета электрической энергии (мощности) (руб./кВт)</w:t>
            </w:r>
          </w:p>
        </w:tc>
      </w:tr>
      <w:tr w:rsidR="00DA1723">
        <w:tc>
          <w:tcPr>
            <w:tcW w:w="737" w:type="dxa"/>
          </w:tcPr>
          <w:p w:rsidR="00DA1723" w:rsidRDefault="00DA1723">
            <w:pPr>
              <w:pStyle w:val="ConsPlusNormal"/>
              <w:jc w:val="center"/>
            </w:pPr>
            <w:r>
              <w:t>3.1.</w:t>
            </w:r>
          </w:p>
        </w:tc>
        <w:tc>
          <w:tcPr>
            <w:tcW w:w="1782" w:type="dxa"/>
            <w:vMerge w:val="restart"/>
          </w:tcPr>
          <w:p w:rsidR="00DA1723" w:rsidRDefault="00DA1723">
            <w:pPr>
              <w:pStyle w:val="ConsPlusNormal"/>
              <w:jc w:val="both"/>
            </w:pPr>
            <w:r>
              <w:t>С</w:t>
            </w:r>
            <w:r>
              <w:rPr>
                <w:vertAlign w:val="subscript"/>
              </w:rPr>
              <w:t>8</w:t>
            </w:r>
            <w:r>
              <w:rPr>
                <w:vertAlign w:val="superscript"/>
              </w:rPr>
              <w:t>max</w:t>
            </w:r>
          </w:p>
        </w:tc>
        <w:tc>
          <w:tcPr>
            <w:tcW w:w="4309" w:type="dxa"/>
          </w:tcPr>
          <w:p w:rsidR="00DA1723" w:rsidRDefault="00DA1723">
            <w:pPr>
              <w:pStyle w:val="ConsPlusNormal"/>
            </w:pPr>
            <w:r>
              <w:t xml:space="preserve">однофазные прямого включения 0,4 </w:t>
            </w:r>
            <w:proofErr w:type="spellStart"/>
            <w:r>
              <w:t>кВ</w:t>
            </w:r>
            <w:proofErr w:type="spellEnd"/>
            <w:r>
              <w:t xml:space="preserve"> и ниже</w:t>
            </w:r>
          </w:p>
        </w:tc>
        <w:tc>
          <w:tcPr>
            <w:tcW w:w="1116" w:type="dxa"/>
          </w:tcPr>
          <w:p w:rsidR="00DA1723" w:rsidRDefault="00DA1723">
            <w:pPr>
              <w:pStyle w:val="ConsPlusNormal"/>
              <w:jc w:val="center"/>
            </w:pPr>
            <w:r>
              <w:t>2562,60</w:t>
            </w:r>
          </w:p>
        </w:tc>
        <w:tc>
          <w:tcPr>
            <w:tcW w:w="1127" w:type="dxa"/>
          </w:tcPr>
          <w:p w:rsidR="00DA1723" w:rsidRDefault="00DA1723">
            <w:pPr>
              <w:pStyle w:val="ConsPlusNormal"/>
              <w:jc w:val="center"/>
            </w:pPr>
            <w:r>
              <w:t>2562,60</w:t>
            </w:r>
          </w:p>
        </w:tc>
      </w:tr>
      <w:tr w:rsidR="00DA1723">
        <w:tc>
          <w:tcPr>
            <w:tcW w:w="737" w:type="dxa"/>
          </w:tcPr>
          <w:p w:rsidR="00DA1723" w:rsidRDefault="00DA1723">
            <w:pPr>
              <w:pStyle w:val="ConsPlusNormal"/>
              <w:jc w:val="center"/>
            </w:pPr>
            <w:r>
              <w:t>3.2.</w:t>
            </w:r>
          </w:p>
        </w:tc>
        <w:tc>
          <w:tcPr>
            <w:tcW w:w="1782" w:type="dxa"/>
            <w:vMerge/>
          </w:tcPr>
          <w:p w:rsidR="00DA1723" w:rsidRDefault="00DA1723"/>
        </w:tc>
        <w:tc>
          <w:tcPr>
            <w:tcW w:w="4309" w:type="dxa"/>
          </w:tcPr>
          <w:p w:rsidR="00DA1723" w:rsidRDefault="00DA1723">
            <w:pPr>
              <w:pStyle w:val="ConsPlusNormal"/>
            </w:pPr>
            <w:r>
              <w:t xml:space="preserve">трехфазные прямого включения 0,4 </w:t>
            </w:r>
            <w:proofErr w:type="spellStart"/>
            <w:r>
              <w:t>кВ</w:t>
            </w:r>
            <w:proofErr w:type="spellEnd"/>
            <w:r>
              <w:t xml:space="preserve"> и ниже</w:t>
            </w:r>
          </w:p>
        </w:tc>
        <w:tc>
          <w:tcPr>
            <w:tcW w:w="1116" w:type="dxa"/>
          </w:tcPr>
          <w:p w:rsidR="00DA1723" w:rsidRDefault="00DA1723">
            <w:pPr>
              <w:pStyle w:val="ConsPlusNormal"/>
              <w:jc w:val="center"/>
            </w:pPr>
            <w:r>
              <w:t>1721,41</w:t>
            </w:r>
          </w:p>
        </w:tc>
        <w:tc>
          <w:tcPr>
            <w:tcW w:w="1127" w:type="dxa"/>
          </w:tcPr>
          <w:p w:rsidR="00DA1723" w:rsidRDefault="00DA1723">
            <w:pPr>
              <w:pStyle w:val="ConsPlusNormal"/>
              <w:jc w:val="center"/>
            </w:pPr>
            <w:r>
              <w:t>1721,41</w:t>
            </w:r>
          </w:p>
        </w:tc>
      </w:tr>
      <w:tr w:rsidR="00DA1723">
        <w:tc>
          <w:tcPr>
            <w:tcW w:w="737" w:type="dxa"/>
          </w:tcPr>
          <w:p w:rsidR="00DA1723" w:rsidRDefault="00DA1723">
            <w:pPr>
              <w:pStyle w:val="ConsPlusNormal"/>
              <w:jc w:val="center"/>
            </w:pPr>
            <w:r>
              <w:lastRenderedPageBreak/>
              <w:t>3.3.</w:t>
            </w:r>
          </w:p>
        </w:tc>
        <w:tc>
          <w:tcPr>
            <w:tcW w:w="1782" w:type="dxa"/>
            <w:vMerge/>
          </w:tcPr>
          <w:p w:rsidR="00DA1723" w:rsidRDefault="00DA1723"/>
        </w:tc>
        <w:tc>
          <w:tcPr>
            <w:tcW w:w="4309" w:type="dxa"/>
          </w:tcPr>
          <w:p w:rsidR="00DA1723" w:rsidRDefault="00DA1723">
            <w:pPr>
              <w:pStyle w:val="ConsPlusNormal"/>
            </w:pPr>
            <w:r>
              <w:t xml:space="preserve">трехфазные </w:t>
            </w:r>
            <w:proofErr w:type="spellStart"/>
            <w:r>
              <w:t>полукосвенного</w:t>
            </w:r>
            <w:proofErr w:type="spellEnd"/>
            <w:r>
              <w:t xml:space="preserve"> включения 0,4 </w:t>
            </w:r>
            <w:proofErr w:type="spellStart"/>
            <w:r>
              <w:t>кВ</w:t>
            </w:r>
            <w:proofErr w:type="spellEnd"/>
            <w:r>
              <w:t xml:space="preserve"> и ниже</w:t>
            </w:r>
          </w:p>
        </w:tc>
        <w:tc>
          <w:tcPr>
            <w:tcW w:w="1116" w:type="dxa"/>
          </w:tcPr>
          <w:p w:rsidR="00DA1723" w:rsidRDefault="00DA1723">
            <w:pPr>
              <w:pStyle w:val="ConsPlusNormal"/>
              <w:jc w:val="center"/>
            </w:pPr>
            <w:r>
              <w:t>239,18</w:t>
            </w:r>
          </w:p>
        </w:tc>
        <w:tc>
          <w:tcPr>
            <w:tcW w:w="1127" w:type="dxa"/>
          </w:tcPr>
          <w:p w:rsidR="00DA1723" w:rsidRDefault="00DA1723">
            <w:pPr>
              <w:pStyle w:val="ConsPlusNormal"/>
              <w:jc w:val="center"/>
            </w:pPr>
            <w:r>
              <w:t>239,18</w:t>
            </w:r>
          </w:p>
        </w:tc>
      </w:tr>
      <w:tr w:rsidR="00DA1723">
        <w:tc>
          <w:tcPr>
            <w:tcW w:w="737" w:type="dxa"/>
            <w:vAlign w:val="center"/>
          </w:tcPr>
          <w:p w:rsidR="00DA1723" w:rsidRDefault="00DA1723">
            <w:pPr>
              <w:pStyle w:val="ConsPlusNormal"/>
              <w:jc w:val="center"/>
            </w:pPr>
            <w:r>
              <w:t>3.4.</w:t>
            </w:r>
          </w:p>
        </w:tc>
        <w:tc>
          <w:tcPr>
            <w:tcW w:w="1782" w:type="dxa"/>
            <w:vMerge/>
          </w:tcPr>
          <w:p w:rsidR="00DA1723" w:rsidRDefault="00DA1723"/>
        </w:tc>
        <w:tc>
          <w:tcPr>
            <w:tcW w:w="4309" w:type="dxa"/>
          </w:tcPr>
          <w:p w:rsidR="00DA1723" w:rsidRDefault="00DA1723">
            <w:pPr>
              <w:pStyle w:val="ConsPlusNormal"/>
            </w:pPr>
            <w:r>
              <w:t xml:space="preserve">трехфазные косвенного включения 1 - 20 </w:t>
            </w:r>
            <w:proofErr w:type="spellStart"/>
            <w:r>
              <w:t>кВ</w:t>
            </w:r>
            <w:proofErr w:type="spellEnd"/>
          </w:p>
        </w:tc>
        <w:tc>
          <w:tcPr>
            <w:tcW w:w="1116" w:type="dxa"/>
            <w:vAlign w:val="center"/>
          </w:tcPr>
          <w:p w:rsidR="00DA1723" w:rsidRDefault="00DA1723">
            <w:pPr>
              <w:pStyle w:val="ConsPlusNormal"/>
              <w:jc w:val="center"/>
            </w:pPr>
            <w:r>
              <w:t>518,57</w:t>
            </w:r>
          </w:p>
        </w:tc>
        <w:tc>
          <w:tcPr>
            <w:tcW w:w="1127" w:type="dxa"/>
            <w:vAlign w:val="center"/>
          </w:tcPr>
          <w:p w:rsidR="00DA1723" w:rsidRDefault="00DA1723">
            <w:pPr>
              <w:pStyle w:val="ConsPlusNormal"/>
              <w:jc w:val="center"/>
            </w:pPr>
            <w:r>
              <w:t>518,57</w:t>
            </w:r>
          </w:p>
        </w:tc>
      </w:tr>
    </w:tbl>
    <w:p w:rsidR="00DA1723" w:rsidRDefault="00DA1723">
      <w:pPr>
        <w:pStyle w:val="ConsPlusNormal"/>
        <w:jc w:val="right"/>
      </w:pPr>
      <w:r>
        <w:t>".</w:t>
      </w:r>
    </w:p>
    <w:p w:rsidR="00DA1723" w:rsidRDefault="00DA1723">
      <w:pPr>
        <w:pStyle w:val="ConsPlusNormal"/>
        <w:ind w:firstLine="540"/>
        <w:jc w:val="both"/>
      </w:pPr>
      <w:r>
        <w:t xml:space="preserve">1.3. </w:t>
      </w:r>
      <w:hyperlink r:id="rId14" w:history="1">
        <w:r>
          <w:rPr>
            <w:color w:val="0000FF"/>
          </w:rPr>
          <w:t>Приложение 3</w:t>
        </w:r>
      </w:hyperlink>
      <w:r>
        <w:t xml:space="preserve"> изложить в редакции согласно </w:t>
      </w:r>
      <w:hyperlink w:anchor="P129" w:history="1">
        <w:r>
          <w:rPr>
            <w:color w:val="0000FF"/>
          </w:rPr>
          <w:t>приложению 2</w:t>
        </w:r>
      </w:hyperlink>
      <w:r>
        <w:t xml:space="preserve"> к настоящему постановлению.</w:t>
      </w:r>
    </w:p>
    <w:p w:rsidR="00DA1723" w:rsidRDefault="00DA1723">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DA1723" w:rsidRDefault="00DA1723">
      <w:pPr>
        <w:pStyle w:val="ConsPlusNormal"/>
        <w:jc w:val="both"/>
      </w:pPr>
    </w:p>
    <w:p w:rsidR="00DA1723" w:rsidRDefault="00DA1723">
      <w:pPr>
        <w:pStyle w:val="ConsPlusNormal"/>
        <w:jc w:val="right"/>
      </w:pPr>
      <w:proofErr w:type="gramStart"/>
      <w:r>
        <w:t>Исполняющий</w:t>
      </w:r>
      <w:proofErr w:type="gramEnd"/>
      <w:r>
        <w:t xml:space="preserve"> обязанности председателя</w:t>
      </w:r>
    </w:p>
    <w:p w:rsidR="00DA1723" w:rsidRDefault="00DA1723">
      <w:pPr>
        <w:pStyle w:val="ConsPlusNormal"/>
        <w:jc w:val="right"/>
      </w:pPr>
      <w:r>
        <w:t>региональной тарифной комиссии</w:t>
      </w:r>
    </w:p>
    <w:p w:rsidR="00DA1723" w:rsidRDefault="00DA1723">
      <w:pPr>
        <w:pStyle w:val="ConsPlusNormal"/>
        <w:jc w:val="right"/>
      </w:pPr>
      <w:r>
        <w:t>Ставропольского края</w:t>
      </w:r>
    </w:p>
    <w:p w:rsidR="00DA1723" w:rsidRDefault="00DA1723">
      <w:pPr>
        <w:pStyle w:val="ConsPlusNormal"/>
        <w:jc w:val="right"/>
      </w:pPr>
      <w:r>
        <w:t>К.А.ШИШМАНИДИ</w:t>
      </w:r>
    </w:p>
    <w:p w:rsidR="00DA1723" w:rsidRDefault="00DA1723">
      <w:pPr>
        <w:pStyle w:val="ConsPlusNormal"/>
        <w:jc w:val="both"/>
      </w:pPr>
    </w:p>
    <w:p w:rsidR="00DA1723" w:rsidRDefault="00DA1723">
      <w:pPr>
        <w:pStyle w:val="ConsPlusNormal"/>
        <w:jc w:val="both"/>
      </w:pPr>
    </w:p>
    <w:p w:rsidR="00DA1723" w:rsidRDefault="00DA1723">
      <w:pPr>
        <w:pStyle w:val="ConsPlusNormal"/>
        <w:jc w:val="both"/>
      </w:pPr>
    </w:p>
    <w:p w:rsidR="00DA1723" w:rsidRDefault="00DA1723">
      <w:pPr>
        <w:pStyle w:val="ConsPlusNormal"/>
        <w:jc w:val="both"/>
      </w:pPr>
    </w:p>
    <w:p w:rsidR="00DA1723" w:rsidRDefault="00DA1723">
      <w:pPr>
        <w:pStyle w:val="ConsPlusNormal"/>
        <w:jc w:val="both"/>
      </w:pPr>
    </w:p>
    <w:p w:rsidR="00DA1723" w:rsidRDefault="00DA1723">
      <w:pPr>
        <w:pStyle w:val="ConsPlusNormal"/>
        <w:jc w:val="right"/>
        <w:outlineLvl w:val="0"/>
      </w:pPr>
      <w:bookmarkStart w:id="0" w:name="P57"/>
      <w:bookmarkEnd w:id="0"/>
      <w:r>
        <w:t>Приложение 1</w:t>
      </w:r>
    </w:p>
    <w:p w:rsidR="00DA1723" w:rsidRDefault="00DA1723">
      <w:pPr>
        <w:pStyle w:val="ConsPlusNormal"/>
        <w:jc w:val="right"/>
      </w:pPr>
      <w:r>
        <w:t>к постановлению</w:t>
      </w:r>
    </w:p>
    <w:p w:rsidR="00DA1723" w:rsidRDefault="00DA1723">
      <w:pPr>
        <w:pStyle w:val="ConsPlusNormal"/>
        <w:jc w:val="right"/>
      </w:pPr>
      <w:r>
        <w:t>региональной тарифной комиссии</w:t>
      </w:r>
    </w:p>
    <w:p w:rsidR="00DA1723" w:rsidRDefault="00DA1723">
      <w:pPr>
        <w:pStyle w:val="ConsPlusNormal"/>
        <w:jc w:val="right"/>
      </w:pPr>
      <w:r>
        <w:t>Ставропольского края</w:t>
      </w:r>
    </w:p>
    <w:p w:rsidR="00DA1723" w:rsidRDefault="00DA1723">
      <w:pPr>
        <w:pStyle w:val="ConsPlusNormal"/>
        <w:jc w:val="right"/>
      </w:pPr>
      <w:r>
        <w:t>от 25 августа 2020 г. N 50</w:t>
      </w:r>
    </w:p>
    <w:p w:rsidR="00DA1723" w:rsidRDefault="00DA1723">
      <w:pPr>
        <w:pStyle w:val="ConsPlusNormal"/>
        <w:jc w:val="both"/>
      </w:pPr>
      <w:r>
        <w:t>"</w:t>
      </w:r>
    </w:p>
    <w:p w:rsidR="00DA1723" w:rsidRDefault="00DA1723">
      <w:pPr>
        <w:sectPr w:rsidR="00DA1723" w:rsidSect="000A12B0">
          <w:pgSz w:w="11906" w:h="16838"/>
          <w:pgMar w:top="567" w:right="424" w:bottom="567" w:left="1701" w:header="709" w:footer="709" w:gutter="0"/>
          <w:cols w:space="708"/>
          <w:docGrid w:linePitch="360"/>
        </w:sectPr>
      </w:pPr>
    </w:p>
    <w:p w:rsidR="00DA1723" w:rsidRDefault="00DA172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0"/>
        <w:gridCol w:w="2324"/>
        <w:gridCol w:w="1191"/>
        <w:gridCol w:w="1191"/>
        <w:gridCol w:w="1300"/>
        <w:gridCol w:w="1304"/>
        <w:gridCol w:w="1361"/>
        <w:gridCol w:w="1321"/>
        <w:gridCol w:w="1417"/>
        <w:gridCol w:w="1417"/>
      </w:tblGrid>
      <w:tr w:rsidR="00DA1723">
        <w:tc>
          <w:tcPr>
            <w:tcW w:w="770" w:type="dxa"/>
          </w:tcPr>
          <w:p w:rsidR="00DA1723" w:rsidRDefault="00DA1723">
            <w:pPr>
              <w:pStyle w:val="ConsPlusNormal"/>
              <w:jc w:val="center"/>
            </w:pPr>
            <w:r>
              <w:t>4.</w:t>
            </w:r>
          </w:p>
        </w:tc>
        <w:tc>
          <w:tcPr>
            <w:tcW w:w="12826" w:type="dxa"/>
            <w:gridSpan w:val="9"/>
          </w:tcPr>
          <w:p w:rsidR="00DA1723" w:rsidRDefault="00DA1723">
            <w:pPr>
              <w:pStyle w:val="ConsPlusNormal"/>
            </w:pPr>
            <w:r>
              <w:t>С</w:t>
            </w:r>
            <w:r>
              <w:rPr>
                <w:vertAlign w:val="subscript"/>
              </w:rPr>
              <w:t>8</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 за точку учета)</w:t>
            </w:r>
          </w:p>
        </w:tc>
      </w:tr>
      <w:tr w:rsidR="00DA1723">
        <w:tc>
          <w:tcPr>
            <w:tcW w:w="770" w:type="dxa"/>
          </w:tcPr>
          <w:p w:rsidR="00DA1723" w:rsidRDefault="00DA1723">
            <w:pPr>
              <w:pStyle w:val="ConsPlusNormal"/>
              <w:jc w:val="center"/>
            </w:pPr>
            <w:r>
              <w:t>4.1.</w:t>
            </w:r>
          </w:p>
        </w:tc>
        <w:tc>
          <w:tcPr>
            <w:tcW w:w="12826" w:type="dxa"/>
            <w:gridSpan w:val="9"/>
          </w:tcPr>
          <w:p w:rsidR="00DA1723" w:rsidRDefault="00DA1723">
            <w:pPr>
              <w:pStyle w:val="ConsPlusNormal"/>
            </w:pPr>
            <w:r>
              <w:t>Средства коммерческого учета электрической энергии (мощности)</w:t>
            </w:r>
          </w:p>
        </w:tc>
      </w:tr>
      <w:tr w:rsidR="00DA1723">
        <w:tc>
          <w:tcPr>
            <w:tcW w:w="770" w:type="dxa"/>
          </w:tcPr>
          <w:p w:rsidR="00DA1723" w:rsidRDefault="00DA1723">
            <w:pPr>
              <w:pStyle w:val="ConsPlusNormal"/>
              <w:jc w:val="center"/>
            </w:pPr>
            <w:r>
              <w:t>4.1.1.</w:t>
            </w:r>
          </w:p>
        </w:tc>
        <w:tc>
          <w:tcPr>
            <w:tcW w:w="2324" w:type="dxa"/>
          </w:tcPr>
          <w:p w:rsidR="00DA1723" w:rsidRDefault="00DA1723">
            <w:pPr>
              <w:pStyle w:val="ConsPlusNormal"/>
            </w:pPr>
            <w:proofErr w:type="gramStart"/>
            <w:r>
              <w:t>однофазные прямого включения</w:t>
            </w:r>
            <w:proofErr w:type="gramEnd"/>
          </w:p>
        </w:tc>
        <w:tc>
          <w:tcPr>
            <w:tcW w:w="1191" w:type="dxa"/>
          </w:tcPr>
          <w:p w:rsidR="00DA1723" w:rsidRDefault="00DA1723">
            <w:pPr>
              <w:pStyle w:val="ConsPlusNormal"/>
              <w:jc w:val="center"/>
            </w:pPr>
            <w:r>
              <w:t>14579,85</w:t>
            </w:r>
          </w:p>
        </w:tc>
        <w:tc>
          <w:tcPr>
            <w:tcW w:w="1191" w:type="dxa"/>
          </w:tcPr>
          <w:p w:rsidR="00DA1723" w:rsidRDefault="00DA1723">
            <w:pPr>
              <w:pStyle w:val="ConsPlusNormal"/>
              <w:jc w:val="center"/>
            </w:pPr>
            <w:r>
              <w:t>14579,85</w:t>
            </w:r>
          </w:p>
        </w:tc>
        <w:tc>
          <w:tcPr>
            <w:tcW w:w="1300" w:type="dxa"/>
          </w:tcPr>
          <w:p w:rsidR="00DA1723" w:rsidRDefault="00DA1723">
            <w:pPr>
              <w:pStyle w:val="ConsPlusNormal"/>
              <w:jc w:val="center"/>
            </w:pPr>
            <w:r>
              <w:t>-</w:t>
            </w:r>
          </w:p>
        </w:tc>
        <w:tc>
          <w:tcPr>
            <w:tcW w:w="1304" w:type="dxa"/>
          </w:tcPr>
          <w:p w:rsidR="00DA1723" w:rsidRDefault="00DA1723">
            <w:pPr>
              <w:pStyle w:val="ConsPlusNormal"/>
              <w:jc w:val="center"/>
            </w:pPr>
            <w:r>
              <w:t>-</w:t>
            </w:r>
          </w:p>
        </w:tc>
        <w:tc>
          <w:tcPr>
            <w:tcW w:w="1361" w:type="dxa"/>
          </w:tcPr>
          <w:p w:rsidR="00DA1723" w:rsidRDefault="00DA1723">
            <w:pPr>
              <w:pStyle w:val="ConsPlusNormal"/>
              <w:jc w:val="center"/>
            </w:pPr>
            <w:r>
              <w:t>-</w:t>
            </w:r>
          </w:p>
        </w:tc>
        <w:tc>
          <w:tcPr>
            <w:tcW w:w="1321" w:type="dxa"/>
          </w:tcPr>
          <w:p w:rsidR="00DA1723" w:rsidRDefault="00DA1723">
            <w:pPr>
              <w:pStyle w:val="ConsPlusNormal"/>
              <w:jc w:val="center"/>
            </w:pPr>
            <w:r>
              <w:t>-</w:t>
            </w:r>
          </w:p>
        </w:tc>
        <w:tc>
          <w:tcPr>
            <w:tcW w:w="1417" w:type="dxa"/>
          </w:tcPr>
          <w:p w:rsidR="00DA1723" w:rsidRDefault="00DA1723">
            <w:pPr>
              <w:pStyle w:val="ConsPlusNormal"/>
              <w:jc w:val="center"/>
            </w:pPr>
            <w:r>
              <w:t>-</w:t>
            </w:r>
          </w:p>
        </w:tc>
        <w:tc>
          <w:tcPr>
            <w:tcW w:w="1417" w:type="dxa"/>
          </w:tcPr>
          <w:p w:rsidR="00DA1723" w:rsidRDefault="00DA1723">
            <w:pPr>
              <w:pStyle w:val="ConsPlusNormal"/>
              <w:jc w:val="center"/>
            </w:pPr>
            <w:r>
              <w:t>-</w:t>
            </w:r>
          </w:p>
        </w:tc>
      </w:tr>
      <w:tr w:rsidR="00DA1723">
        <w:tc>
          <w:tcPr>
            <w:tcW w:w="770" w:type="dxa"/>
          </w:tcPr>
          <w:p w:rsidR="00DA1723" w:rsidRDefault="00DA1723">
            <w:pPr>
              <w:pStyle w:val="ConsPlusNormal"/>
              <w:jc w:val="center"/>
            </w:pPr>
            <w:r>
              <w:t>4.1.2.</w:t>
            </w:r>
          </w:p>
        </w:tc>
        <w:tc>
          <w:tcPr>
            <w:tcW w:w="2324" w:type="dxa"/>
          </w:tcPr>
          <w:p w:rsidR="00DA1723" w:rsidRDefault="00DA1723">
            <w:pPr>
              <w:pStyle w:val="ConsPlusNormal"/>
            </w:pPr>
            <w:proofErr w:type="gramStart"/>
            <w:r>
              <w:t>трехфазные прямого включения</w:t>
            </w:r>
            <w:proofErr w:type="gramEnd"/>
          </w:p>
        </w:tc>
        <w:tc>
          <w:tcPr>
            <w:tcW w:w="1191" w:type="dxa"/>
          </w:tcPr>
          <w:p w:rsidR="00DA1723" w:rsidRDefault="00DA1723">
            <w:pPr>
              <w:pStyle w:val="ConsPlusNormal"/>
              <w:jc w:val="center"/>
            </w:pPr>
            <w:r>
              <w:t>23528,09</w:t>
            </w:r>
          </w:p>
        </w:tc>
        <w:tc>
          <w:tcPr>
            <w:tcW w:w="1191" w:type="dxa"/>
          </w:tcPr>
          <w:p w:rsidR="00DA1723" w:rsidRDefault="00DA1723">
            <w:pPr>
              <w:pStyle w:val="ConsPlusNormal"/>
              <w:jc w:val="center"/>
            </w:pPr>
            <w:r>
              <w:t>23528,09</w:t>
            </w:r>
          </w:p>
        </w:tc>
        <w:tc>
          <w:tcPr>
            <w:tcW w:w="1300" w:type="dxa"/>
          </w:tcPr>
          <w:p w:rsidR="00DA1723" w:rsidRDefault="00DA1723">
            <w:pPr>
              <w:pStyle w:val="ConsPlusNormal"/>
              <w:jc w:val="center"/>
            </w:pPr>
            <w:r>
              <w:t>-</w:t>
            </w:r>
          </w:p>
        </w:tc>
        <w:tc>
          <w:tcPr>
            <w:tcW w:w="1304" w:type="dxa"/>
          </w:tcPr>
          <w:p w:rsidR="00DA1723" w:rsidRDefault="00DA1723">
            <w:pPr>
              <w:pStyle w:val="ConsPlusNormal"/>
              <w:jc w:val="center"/>
            </w:pPr>
            <w:r>
              <w:t>-</w:t>
            </w:r>
          </w:p>
        </w:tc>
        <w:tc>
          <w:tcPr>
            <w:tcW w:w="1361" w:type="dxa"/>
          </w:tcPr>
          <w:p w:rsidR="00DA1723" w:rsidRDefault="00DA1723">
            <w:pPr>
              <w:pStyle w:val="ConsPlusNormal"/>
              <w:jc w:val="center"/>
            </w:pPr>
            <w:r>
              <w:t>-</w:t>
            </w:r>
          </w:p>
        </w:tc>
        <w:tc>
          <w:tcPr>
            <w:tcW w:w="1321" w:type="dxa"/>
          </w:tcPr>
          <w:p w:rsidR="00DA1723" w:rsidRDefault="00DA1723">
            <w:pPr>
              <w:pStyle w:val="ConsPlusNormal"/>
              <w:jc w:val="center"/>
            </w:pPr>
            <w:r>
              <w:t>-</w:t>
            </w:r>
          </w:p>
        </w:tc>
        <w:tc>
          <w:tcPr>
            <w:tcW w:w="1417" w:type="dxa"/>
          </w:tcPr>
          <w:p w:rsidR="00DA1723" w:rsidRDefault="00DA1723">
            <w:pPr>
              <w:pStyle w:val="ConsPlusNormal"/>
              <w:jc w:val="center"/>
            </w:pPr>
            <w:r>
              <w:t>-</w:t>
            </w:r>
          </w:p>
        </w:tc>
        <w:tc>
          <w:tcPr>
            <w:tcW w:w="1417" w:type="dxa"/>
          </w:tcPr>
          <w:p w:rsidR="00DA1723" w:rsidRDefault="00DA1723">
            <w:pPr>
              <w:pStyle w:val="ConsPlusNormal"/>
              <w:jc w:val="center"/>
            </w:pPr>
            <w:r>
              <w:t>-</w:t>
            </w:r>
          </w:p>
        </w:tc>
      </w:tr>
      <w:tr w:rsidR="00DA1723">
        <w:tc>
          <w:tcPr>
            <w:tcW w:w="770" w:type="dxa"/>
          </w:tcPr>
          <w:p w:rsidR="00DA1723" w:rsidRDefault="00DA1723">
            <w:pPr>
              <w:pStyle w:val="ConsPlusNormal"/>
              <w:jc w:val="center"/>
            </w:pPr>
            <w:r>
              <w:t>4.1.3.</w:t>
            </w:r>
          </w:p>
        </w:tc>
        <w:tc>
          <w:tcPr>
            <w:tcW w:w="2324" w:type="dxa"/>
          </w:tcPr>
          <w:p w:rsidR="00DA1723" w:rsidRDefault="00DA1723">
            <w:pPr>
              <w:pStyle w:val="ConsPlusNormal"/>
            </w:pPr>
            <w:r>
              <w:t xml:space="preserve">трехфазные </w:t>
            </w:r>
            <w:proofErr w:type="spellStart"/>
            <w:r>
              <w:t>полукосвенного</w:t>
            </w:r>
            <w:proofErr w:type="spellEnd"/>
            <w:r>
              <w:t xml:space="preserve"> включения</w:t>
            </w:r>
          </w:p>
        </w:tc>
        <w:tc>
          <w:tcPr>
            <w:tcW w:w="1191" w:type="dxa"/>
          </w:tcPr>
          <w:p w:rsidR="00DA1723" w:rsidRDefault="00DA1723">
            <w:pPr>
              <w:pStyle w:val="ConsPlusNormal"/>
              <w:jc w:val="center"/>
            </w:pPr>
            <w:r>
              <w:t>29773,87</w:t>
            </w:r>
          </w:p>
        </w:tc>
        <w:tc>
          <w:tcPr>
            <w:tcW w:w="1191" w:type="dxa"/>
          </w:tcPr>
          <w:p w:rsidR="00DA1723" w:rsidRDefault="00DA1723">
            <w:pPr>
              <w:pStyle w:val="ConsPlusNormal"/>
              <w:jc w:val="center"/>
            </w:pPr>
            <w:r>
              <w:t>29773,87</w:t>
            </w:r>
          </w:p>
        </w:tc>
        <w:tc>
          <w:tcPr>
            <w:tcW w:w="1300" w:type="dxa"/>
          </w:tcPr>
          <w:p w:rsidR="00DA1723" w:rsidRDefault="00DA1723">
            <w:pPr>
              <w:pStyle w:val="ConsPlusNormal"/>
              <w:jc w:val="center"/>
            </w:pPr>
            <w:r>
              <w:t>-</w:t>
            </w:r>
          </w:p>
        </w:tc>
        <w:tc>
          <w:tcPr>
            <w:tcW w:w="1304" w:type="dxa"/>
          </w:tcPr>
          <w:p w:rsidR="00DA1723" w:rsidRDefault="00DA1723">
            <w:pPr>
              <w:pStyle w:val="ConsPlusNormal"/>
              <w:jc w:val="center"/>
            </w:pPr>
            <w:r>
              <w:t>-</w:t>
            </w:r>
          </w:p>
        </w:tc>
        <w:tc>
          <w:tcPr>
            <w:tcW w:w="1361" w:type="dxa"/>
          </w:tcPr>
          <w:p w:rsidR="00DA1723" w:rsidRDefault="00DA1723">
            <w:pPr>
              <w:pStyle w:val="ConsPlusNormal"/>
              <w:jc w:val="center"/>
            </w:pPr>
            <w:r>
              <w:t>-</w:t>
            </w:r>
          </w:p>
        </w:tc>
        <w:tc>
          <w:tcPr>
            <w:tcW w:w="1321" w:type="dxa"/>
          </w:tcPr>
          <w:p w:rsidR="00DA1723" w:rsidRDefault="00DA1723">
            <w:pPr>
              <w:pStyle w:val="ConsPlusNormal"/>
              <w:jc w:val="center"/>
            </w:pPr>
            <w:r>
              <w:t>-</w:t>
            </w:r>
          </w:p>
        </w:tc>
        <w:tc>
          <w:tcPr>
            <w:tcW w:w="1417" w:type="dxa"/>
          </w:tcPr>
          <w:p w:rsidR="00DA1723" w:rsidRDefault="00DA1723">
            <w:pPr>
              <w:pStyle w:val="ConsPlusNormal"/>
              <w:jc w:val="center"/>
            </w:pPr>
            <w:r>
              <w:t>-</w:t>
            </w:r>
          </w:p>
        </w:tc>
        <w:tc>
          <w:tcPr>
            <w:tcW w:w="1417" w:type="dxa"/>
          </w:tcPr>
          <w:p w:rsidR="00DA1723" w:rsidRDefault="00DA1723">
            <w:pPr>
              <w:pStyle w:val="ConsPlusNormal"/>
              <w:jc w:val="center"/>
            </w:pPr>
            <w:r>
              <w:t>-</w:t>
            </w:r>
          </w:p>
        </w:tc>
      </w:tr>
      <w:tr w:rsidR="00DA1723">
        <w:tc>
          <w:tcPr>
            <w:tcW w:w="770" w:type="dxa"/>
          </w:tcPr>
          <w:p w:rsidR="00DA1723" w:rsidRDefault="00DA1723">
            <w:pPr>
              <w:pStyle w:val="ConsPlusNormal"/>
              <w:jc w:val="center"/>
            </w:pPr>
            <w:r>
              <w:t>4.1.4.</w:t>
            </w:r>
          </w:p>
        </w:tc>
        <w:tc>
          <w:tcPr>
            <w:tcW w:w="2324" w:type="dxa"/>
          </w:tcPr>
          <w:p w:rsidR="00DA1723" w:rsidRDefault="00DA1723">
            <w:pPr>
              <w:pStyle w:val="ConsPlusNormal"/>
            </w:pPr>
            <w:proofErr w:type="gramStart"/>
            <w:r>
              <w:t>трехфазные косвенного включения</w:t>
            </w:r>
            <w:proofErr w:type="gramEnd"/>
          </w:p>
        </w:tc>
        <w:tc>
          <w:tcPr>
            <w:tcW w:w="1191" w:type="dxa"/>
          </w:tcPr>
          <w:p w:rsidR="00DA1723" w:rsidRDefault="00DA1723">
            <w:pPr>
              <w:pStyle w:val="ConsPlusNormal"/>
              <w:jc w:val="center"/>
            </w:pPr>
            <w:r>
              <w:t>-</w:t>
            </w:r>
          </w:p>
        </w:tc>
        <w:tc>
          <w:tcPr>
            <w:tcW w:w="1191" w:type="dxa"/>
          </w:tcPr>
          <w:p w:rsidR="00DA1723" w:rsidRDefault="00DA1723">
            <w:pPr>
              <w:pStyle w:val="ConsPlusNormal"/>
              <w:jc w:val="center"/>
            </w:pPr>
            <w:r>
              <w:t>-</w:t>
            </w:r>
          </w:p>
        </w:tc>
        <w:tc>
          <w:tcPr>
            <w:tcW w:w="1300" w:type="dxa"/>
          </w:tcPr>
          <w:p w:rsidR="00DA1723" w:rsidRDefault="00DA1723">
            <w:pPr>
              <w:pStyle w:val="ConsPlusNormal"/>
              <w:jc w:val="center"/>
            </w:pPr>
            <w:r>
              <w:t>178218,53</w:t>
            </w:r>
          </w:p>
        </w:tc>
        <w:tc>
          <w:tcPr>
            <w:tcW w:w="1304" w:type="dxa"/>
          </w:tcPr>
          <w:p w:rsidR="00DA1723" w:rsidRDefault="00DA1723">
            <w:pPr>
              <w:pStyle w:val="ConsPlusNormal"/>
              <w:jc w:val="center"/>
            </w:pPr>
            <w:r>
              <w:t>178218,53</w:t>
            </w:r>
          </w:p>
        </w:tc>
        <w:tc>
          <w:tcPr>
            <w:tcW w:w="1361" w:type="dxa"/>
          </w:tcPr>
          <w:p w:rsidR="00DA1723" w:rsidRDefault="00DA1723">
            <w:pPr>
              <w:pStyle w:val="ConsPlusNormal"/>
              <w:jc w:val="center"/>
            </w:pPr>
            <w:r>
              <w:t>989236,00</w:t>
            </w:r>
          </w:p>
        </w:tc>
        <w:tc>
          <w:tcPr>
            <w:tcW w:w="1321" w:type="dxa"/>
          </w:tcPr>
          <w:p w:rsidR="00DA1723" w:rsidRDefault="00DA1723">
            <w:pPr>
              <w:pStyle w:val="ConsPlusNormal"/>
              <w:jc w:val="center"/>
            </w:pPr>
            <w:r>
              <w:t>989236,00</w:t>
            </w:r>
          </w:p>
        </w:tc>
        <w:tc>
          <w:tcPr>
            <w:tcW w:w="1417" w:type="dxa"/>
          </w:tcPr>
          <w:p w:rsidR="00DA1723" w:rsidRDefault="00DA1723">
            <w:pPr>
              <w:pStyle w:val="ConsPlusNormal"/>
              <w:jc w:val="center"/>
            </w:pPr>
            <w:r>
              <w:t>2968236,00</w:t>
            </w:r>
          </w:p>
        </w:tc>
        <w:tc>
          <w:tcPr>
            <w:tcW w:w="1417" w:type="dxa"/>
          </w:tcPr>
          <w:p w:rsidR="00DA1723" w:rsidRDefault="00DA1723">
            <w:pPr>
              <w:pStyle w:val="ConsPlusNormal"/>
              <w:jc w:val="center"/>
            </w:pPr>
            <w:r>
              <w:t>2968236,00</w:t>
            </w:r>
          </w:p>
        </w:tc>
      </w:tr>
    </w:tbl>
    <w:p w:rsidR="00DA1723" w:rsidRDefault="00DA1723">
      <w:pPr>
        <w:pStyle w:val="ConsPlusNormal"/>
        <w:jc w:val="right"/>
      </w:pPr>
      <w:r>
        <w:t>".</w:t>
      </w:r>
    </w:p>
    <w:p w:rsidR="00DA1723" w:rsidRDefault="00DA1723">
      <w:pPr>
        <w:sectPr w:rsidR="00DA1723">
          <w:pgSz w:w="16838" w:h="11905" w:orient="landscape"/>
          <w:pgMar w:top="1701" w:right="567" w:bottom="424" w:left="567" w:header="0" w:footer="0" w:gutter="0"/>
          <w:cols w:space="720"/>
        </w:sectPr>
      </w:pPr>
    </w:p>
    <w:p w:rsidR="00DA1723" w:rsidRDefault="00DA1723">
      <w:pPr>
        <w:pStyle w:val="ConsPlusNormal"/>
        <w:jc w:val="both"/>
      </w:pPr>
    </w:p>
    <w:p w:rsidR="00DA1723" w:rsidRDefault="00DA1723">
      <w:pPr>
        <w:pStyle w:val="ConsPlusNormal"/>
        <w:jc w:val="both"/>
      </w:pPr>
    </w:p>
    <w:p w:rsidR="00DA1723" w:rsidRDefault="00DA1723">
      <w:pPr>
        <w:pStyle w:val="ConsPlusNormal"/>
        <w:jc w:val="both"/>
      </w:pPr>
    </w:p>
    <w:p w:rsidR="00DA1723" w:rsidRDefault="00DA1723">
      <w:pPr>
        <w:pStyle w:val="ConsPlusNormal"/>
        <w:jc w:val="both"/>
      </w:pPr>
    </w:p>
    <w:p w:rsidR="00DA1723" w:rsidRDefault="00DA1723">
      <w:pPr>
        <w:pStyle w:val="ConsPlusNormal"/>
        <w:jc w:val="both"/>
      </w:pPr>
    </w:p>
    <w:p w:rsidR="00DA1723" w:rsidRDefault="00DA1723">
      <w:pPr>
        <w:pStyle w:val="ConsPlusNormal"/>
        <w:jc w:val="right"/>
        <w:outlineLvl w:val="0"/>
      </w:pPr>
      <w:r>
        <w:t>Приложение 2</w:t>
      </w:r>
    </w:p>
    <w:p w:rsidR="00DA1723" w:rsidRDefault="00DA1723">
      <w:pPr>
        <w:pStyle w:val="ConsPlusNormal"/>
        <w:jc w:val="right"/>
      </w:pPr>
      <w:r>
        <w:t>к постановлению</w:t>
      </w:r>
    </w:p>
    <w:p w:rsidR="00DA1723" w:rsidRDefault="00DA1723">
      <w:pPr>
        <w:pStyle w:val="ConsPlusNormal"/>
        <w:jc w:val="right"/>
      </w:pPr>
      <w:r>
        <w:t>региональной тарифной комиссии</w:t>
      </w:r>
    </w:p>
    <w:p w:rsidR="00DA1723" w:rsidRDefault="00DA1723">
      <w:pPr>
        <w:pStyle w:val="ConsPlusNormal"/>
        <w:jc w:val="right"/>
      </w:pPr>
      <w:r>
        <w:t>Ставропольского края</w:t>
      </w:r>
    </w:p>
    <w:p w:rsidR="00DA1723" w:rsidRDefault="00DA1723">
      <w:pPr>
        <w:pStyle w:val="ConsPlusNormal"/>
        <w:jc w:val="right"/>
      </w:pPr>
      <w:r>
        <w:t>от 25 августа 2020 г. N 50</w:t>
      </w:r>
    </w:p>
    <w:p w:rsidR="00DA1723" w:rsidRDefault="00DA1723">
      <w:pPr>
        <w:pStyle w:val="ConsPlusNormal"/>
        <w:jc w:val="both"/>
      </w:pPr>
    </w:p>
    <w:p w:rsidR="00DA1723" w:rsidRDefault="00DA1723">
      <w:pPr>
        <w:pStyle w:val="ConsPlusNormal"/>
        <w:jc w:val="right"/>
      </w:pPr>
      <w:r>
        <w:t>"Приложение 3</w:t>
      </w:r>
    </w:p>
    <w:p w:rsidR="00DA1723" w:rsidRDefault="00DA1723">
      <w:pPr>
        <w:pStyle w:val="ConsPlusNormal"/>
        <w:jc w:val="right"/>
      </w:pPr>
      <w:r>
        <w:t>к постановлению</w:t>
      </w:r>
    </w:p>
    <w:p w:rsidR="00DA1723" w:rsidRDefault="00DA1723">
      <w:pPr>
        <w:pStyle w:val="ConsPlusNormal"/>
        <w:jc w:val="right"/>
      </w:pPr>
      <w:r>
        <w:t>региональной тарифной комиссии</w:t>
      </w:r>
    </w:p>
    <w:p w:rsidR="00DA1723" w:rsidRDefault="00DA1723">
      <w:pPr>
        <w:pStyle w:val="ConsPlusNormal"/>
        <w:jc w:val="right"/>
      </w:pPr>
      <w:r>
        <w:t>Ставропольского края</w:t>
      </w:r>
    </w:p>
    <w:p w:rsidR="00DA1723" w:rsidRDefault="00DA1723">
      <w:pPr>
        <w:pStyle w:val="ConsPlusNormal"/>
        <w:jc w:val="right"/>
      </w:pPr>
      <w:r>
        <w:t>от 24 декабря 2019 г. N 74/11</w:t>
      </w:r>
    </w:p>
    <w:p w:rsidR="00DA1723" w:rsidRDefault="00DA1723">
      <w:pPr>
        <w:pStyle w:val="ConsPlusNormal"/>
        <w:jc w:val="right"/>
      </w:pPr>
      <w:proofErr w:type="gramStart"/>
      <w:r>
        <w:t>(в редакции постановления</w:t>
      </w:r>
      <w:proofErr w:type="gramEnd"/>
    </w:p>
    <w:p w:rsidR="00DA1723" w:rsidRDefault="00DA1723">
      <w:pPr>
        <w:pStyle w:val="ConsPlusNormal"/>
        <w:jc w:val="right"/>
      </w:pPr>
      <w:r>
        <w:t>региональной тарифной комиссии</w:t>
      </w:r>
    </w:p>
    <w:p w:rsidR="00DA1723" w:rsidRDefault="00DA1723">
      <w:pPr>
        <w:pStyle w:val="ConsPlusNormal"/>
        <w:jc w:val="right"/>
      </w:pPr>
      <w:r>
        <w:t>Ставропольского края</w:t>
      </w:r>
    </w:p>
    <w:p w:rsidR="00DA1723" w:rsidRDefault="00DA1723">
      <w:pPr>
        <w:pStyle w:val="ConsPlusNormal"/>
        <w:jc w:val="right"/>
      </w:pPr>
      <w:r>
        <w:t>от 25 августа 2020 г. N 50)</w:t>
      </w:r>
    </w:p>
    <w:p w:rsidR="00DA1723" w:rsidRDefault="00DA1723">
      <w:pPr>
        <w:pStyle w:val="ConsPlusNormal"/>
        <w:jc w:val="both"/>
      </w:pPr>
    </w:p>
    <w:p w:rsidR="00DA1723" w:rsidRDefault="00DA1723">
      <w:pPr>
        <w:pStyle w:val="ConsPlusTitle"/>
        <w:jc w:val="center"/>
      </w:pPr>
      <w:bookmarkStart w:id="1" w:name="P129"/>
      <w:bookmarkEnd w:id="1"/>
      <w:r>
        <w:t>ФОРМУЛЫ</w:t>
      </w:r>
    </w:p>
    <w:p w:rsidR="00DA1723" w:rsidRDefault="00DA1723">
      <w:pPr>
        <w:pStyle w:val="ConsPlusTitle"/>
        <w:jc w:val="center"/>
      </w:pPr>
      <w:r>
        <w:t>ДЛЯ РАСЧЕТА РАЗМЕРА ПЛАТЫ ЗА ТЕХНОЛОГИЧЕСКОЕ ПРИСОЕДИНЕНИЕ</w:t>
      </w:r>
    </w:p>
    <w:p w:rsidR="00DA1723" w:rsidRDefault="00DA1723">
      <w:pPr>
        <w:pStyle w:val="ConsPlusTitle"/>
        <w:jc w:val="center"/>
      </w:pPr>
      <w:r>
        <w:t>ЭНЕРГОПРИНИМАЮЩИХ УСТРОЙСТВ ЗАЯВИТЕЛЯ К ОБЪЕКТАМ</w:t>
      </w:r>
    </w:p>
    <w:p w:rsidR="00DA1723" w:rsidRDefault="00DA1723">
      <w:pPr>
        <w:pStyle w:val="ConsPlusTitle"/>
        <w:jc w:val="center"/>
      </w:pPr>
      <w:r>
        <w:t xml:space="preserve">ЭЛЕКТРОСЕТЕВОГО ХОЗЯЙСТВА </w:t>
      </w:r>
      <w:proofErr w:type="gramStart"/>
      <w:r>
        <w:t>ТЕРРИТОРИАЛЬНЫХ</w:t>
      </w:r>
      <w:proofErr w:type="gramEnd"/>
    </w:p>
    <w:p w:rsidR="00DA1723" w:rsidRDefault="00DA1723">
      <w:pPr>
        <w:pStyle w:val="ConsPlusTitle"/>
        <w:jc w:val="center"/>
      </w:pPr>
      <w:r>
        <w:t>СЕТЕВЫХ ОРГАНИЗАЦИЙ</w:t>
      </w:r>
    </w:p>
    <w:p w:rsidR="00DA1723" w:rsidRDefault="00DA1723">
      <w:pPr>
        <w:pStyle w:val="ConsPlusNormal"/>
        <w:jc w:val="both"/>
      </w:pPr>
    </w:p>
    <w:p w:rsidR="00DA1723" w:rsidRDefault="00DA1723">
      <w:pPr>
        <w:pStyle w:val="ConsPlusNormal"/>
        <w:ind w:firstLine="540"/>
        <w:jc w:val="both"/>
      </w:pPr>
      <w:r>
        <w:t>1. Формула для расчета платы за технологическое присоединение с применением стандартизированных тарифных ставок:</w:t>
      </w:r>
    </w:p>
    <w:p w:rsidR="00DA1723" w:rsidRDefault="00DA1723">
      <w:pPr>
        <w:pStyle w:val="ConsPlusNormal"/>
        <w:jc w:val="both"/>
      </w:pPr>
    </w:p>
    <w:p w:rsidR="00DA1723" w:rsidRPr="00DA1723" w:rsidRDefault="00DA1723">
      <w:pPr>
        <w:pStyle w:val="ConsPlusNormal"/>
        <w:ind w:firstLine="540"/>
        <w:jc w:val="both"/>
        <w:rPr>
          <w:lang w:val="en-US"/>
        </w:rPr>
      </w:pPr>
      <w:r w:rsidRPr="00DA1723">
        <w:rPr>
          <w:lang w:val="en-US"/>
        </w:rPr>
        <w:t>P = C</w:t>
      </w:r>
      <w:r w:rsidRPr="00DA1723">
        <w:rPr>
          <w:vertAlign w:val="subscript"/>
          <w:lang w:val="en-US"/>
        </w:rPr>
        <w:t>1</w:t>
      </w:r>
      <w:r w:rsidRPr="00DA1723">
        <w:rPr>
          <w:lang w:val="en-US"/>
        </w:rPr>
        <w:t xml:space="preserve"> + C</w:t>
      </w:r>
      <w:r w:rsidRPr="00DA1723">
        <w:rPr>
          <w:vertAlign w:val="subscript"/>
          <w:lang w:val="en-US"/>
        </w:rPr>
        <w:t>2i</w:t>
      </w:r>
      <w:r w:rsidRPr="00DA1723">
        <w:rPr>
          <w:lang w:val="en-US"/>
        </w:rPr>
        <w:t xml:space="preserve"> x L</w:t>
      </w:r>
      <w:r w:rsidRPr="00DA1723">
        <w:rPr>
          <w:vertAlign w:val="subscript"/>
          <w:lang w:val="en-US"/>
        </w:rPr>
        <w:t>2</w:t>
      </w:r>
      <w:r w:rsidRPr="00DA1723">
        <w:rPr>
          <w:lang w:val="en-US"/>
        </w:rPr>
        <w:t xml:space="preserve"> + C</w:t>
      </w:r>
      <w:r w:rsidRPr="00DA1723">
        <w:rPr>
          <w:vertAlign w:val="subscript"/>
          <w:lang w:val="en-US"/>
        </w:rPr>
        <w:t>3i</w:t>
      </w:r>
      <w:r w:rsidRPr="00DA1723">
        <w:rPr>
          <w:lang w:val="en-US"/>
        </w:rPr>
        <w:t xml:space="preserve"> x L</w:t>
      </w:r>
      <w:r w:rsidRPr="00DA1723">
        <w:rPr>
          <w:vertAlign w:val="subscript"/>
          <w:lang w:val="en-US"/>
        </w:rPr>
        <w:t>3</w:t>
      </w:r>
      <w:r w:rsidRPr="00DA1723">
        <w:rPr>
          <w:lang w:val="en-US"/>
        </w:rPr>
        <w:t xml:space="preserve"> + C</w:t>
      </w:r>
      <w:r w:rsidRPr="00DA1723">
        <w:rPr>
          <w:vertAlign w:val="subscript"/>
          <w:lang w:val="en-US"/>
        </w:rPr>
        <w:t>4</w:t>
      </w:r>
      <w:r w:rsidRPr="00DA1723">
        <w:rPr>
          <w:lang w:val="en-US"/>
        </w:rPr>
        <w:t xml:space="preserve"> + C</w:t>
      </w:r>
      <w:r w:rsidRPr="00DA1723">
        <w:rPr>
          <w:vertAlign w:val="subscript"/>
          <w:lang w:val="en-US"/>
        </w:rPr>
        <w:t>5i</w:t>
      </w:r>
      <w:r w:rsidRPr="00DA1723">
        <w:rPr>
          <w:lang w:val="en-US"/>
        </w:rPr>
        <w:t xml:space="preserve"> x N</w:t>
      </w:r>
      <w:r w:rsidRPr="00DA1723">
        <w:rPr>
          <w:vertAlign w:val="subscript"/>
          <w:lang w:val="en-US"/>
        </w:rPr>
        <w:t>max</w:t>
      </w:r>
      <w:r w:rsidRPr="00DA1723">
        <w:rPr>
          <w:lang w:val="en-US"/>
        </w:rPr>
        <w:t xml:space="preserve"> + C</w:t>
      </w:r>
      <w:r w:rsidRPr="00DA1723">
        <w:rPr>
          <w:vertAlign w:val="subscript"/>
          <w:lang w:val="en-US"/>
        </w:rPr>
        <w:t>6i</w:t>
      </w:r>
      <w:r w:rsidRPr="00DA1723">
        <w:rPr>
          <w:lang w:val="en-US"/>
        </w:rPr>
        <w:t xml:space="preserve"> x N</w:t>
      </w:r>
      <w:r w:rsidRPr="00DA1723">
        <w:rPr>
          <w:vertAlign w:val="subscript"/>
          <w:lang w:val="en-US"/>
        </w:rPr>
        <w:t>max</w:t>
      </w:r>
      <w:r w:rsidRPr="00DA1723">
        <w:rPr>
          <w:lang w:val="en-US"/>
        </w:rPr>
        <w:t xml:space="preserve"> + C</w:t>
      </w:r>
      <w:r w:rsidRPr="00DA1723">
        <w:rPr>
          <w:vertAlign w:val="subscript"/>
          <w:lang w:val="en-US"/>
        </w:rPr>
        <w:t>7i</w:t>
      </w:r>
      <w:r w:rsidRPr="00DA1723">
        <w:rPr>
          <w:lang w:val="en-US"/>
        </w:rPr>
        <w:t xml:space="preserve"> x N</w:t>
      </w:r>
      <w:r w:rsidRPr="00DA1723">
        <w:rPr>
          <w:vertAlign w:val="subscript"/>
          <w:lang w:val="en-US"/>
        </w:rPr>
        <w:t>max</w:t>
      </w:r>
      <w:r w:rsidRPr="00DA1723">
        <w:rPr>
          <w:lang w:val="en-US"/>
        </w:rPr>
        <w:t xml:space="preserve"> + C</w:t>
      </w:r>
      <w:r w:rsidRPr="00DA1723">
        <w:rPr>
          <w:vertAlign w:val="subscript"/>
          <w:lang w:val="en-US"/>
        </w:rPr>
        <w:t>8i</w:t>
      </w:r>
      <w:r w:rsidRPr="00DA1723">
        <w:rPr>
          <w:lang w:val="en-US"/>
        </w:rPr>
        <w:t xml:space="preserve"> x q</w:t>
      </w:r>
      <w:r w:rsidRPr="00DA1723">
        <w:rPr>
          <w:vertAlign w:val="subscript"/>
          <w:lang w:val="en-US"/>
        </w:rPr>
        <w:t>i</w:t>
      </w:r>
      <w:r w:rsidRPr="00DA1723">
        <w:rPr>
          <w:lang w:val="en-US"/>
        </w:rPr>
        <w:t>,</w:t>
      </w:r>
    </w:p>
    <w:p w:rsidR="00DA1723" w:rsidRPr="00DA1723" w:rsidRDefault="00DA1723">
      <w:pPr>
        <w:pStyle w:val="ConsPlusNormal"/>
        <w:jc w:val="both"/>
        <w:rPr>
          <w:lang w:val="en-US"/>
        </w:rPr>
      </w:pPr>
    </w:p>
    <w:p w:rsidR="00DA1723" w:rsidRDefault="00DA1723">
      <w:pPr>
        <w:pStyle w:val="ConsPlusNormal"/>
        <w:ind w:firstLine="540"/>
        <w:jc w:val="both"/>
      </w:pPr>
      <w:r>
        <w:t>где:</w:t>
      </w:r>
    </w:p>
    <w:p w:rsidR="00DA1723" w:rsidRDefault="00DA1723">
      <w:pPr>
        <w:pStyle w:val="ConsPlusNormal"/>
        <w:spacing w:before="220"/>
        <w:ind w:firstLine="540"/>
        <w:jc w:val="both"/>
      </w:pPr>
      <w:r>
        <w:t>P - плата за технологическое присоединение, рассчитанная на основании стандартизированных тарифных ставок (руб.);</w:t>
      </w:r>
    </w:p>
    <w:p w:rsidR="00DA1723" w:rsidRDefault="00DA1723">
      <w:pPr>
        <w:pStyle w:val="ConsPlusNormal"/>
        <w:spacing w:before="220"/>
        <w:ind w:firstLine="540"/>
        <w:jc w:val="both"/>
      </w:pPr>
      <w:r>
        <w:t>C</w:t>
      </w:r>
      <w:r>
        <w:rPr>
          <w:vertAlign w:val="subscript"/>
        </w:rPr>
        <w:t>1</w:t>
      </w:r>
      <w:r>
        <w:t xml:space="preserve"> - стандартизированная тарифная ставка платы на организационные мероприятия согласно </w:t>
      </w:r>
      <w:hyperlink r:id="rId15" w:history="1">
        <w:r>
          <w:rPr>
            <w:color w:val="0000FF"/>
          </w:rPr>
          <w:t>пункту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 августа 2017 г. N 1135/17 (далее - Методические указания);</w:t>
      </w:r>
    </w:p>
    <w:p w:rsidR="00DA1723" w:rsidRDefault="00DA1723">
      <w:pPr>
        <w:pStyle w:val="ConsPlusNormal"/>
        <w:spacing w:before="220"/>
        <w:ind w:firstLine="540"/>
        <w:jc w:val="both"/>
      </w:pPr>
      <w:r>
        <w:t>C</w:t>
      </w:r>
      <w:r>
        <w:rPr>
          <w:vertAlign w:val="subscript"/>
        </w:rPr>
        <w:t>2i</w:t>
      </w:r>
      <w:r>
        <w:t xml:space="preserve"> - стандартизированная ставка платы на выполнение мероприятий по строительству воздушной линии электропередачи на i-м уровне напряжения;</w:t>
      </w:r>
    </w:p>
    <w:p w:rsidR="00DA1723" w:rsidRDefault="00DA1723">
      <w:pPr>
        <w:pStyle w:val="ConsPlusNormal"/>
        <w:spacing w:before="220"/>
        <w:ind w:firstLine="540"/>
        <w:jc w:val="both"/>
      </w:pPr>
      <w:r>
        <w:t>C</w:t>
      </w:r>
      <w:r>
        <w:rPr>
          <w:vertAlign w:val="subscript"/>
        </w:rPr>
        <w:t>3i</w:t>
      </w:r>
      <w:r>
        <w:t xml:space="preserve"> - стандартизированная ставка платы на выполнение мероприятий по строительству кабельной линии электропередачи на i-м уровне напряжения;</w:t>
      </w:r>
    </w:p>
    <w:p w:rsidR="00DA1723" w:rsidRDefault="00DA1723">
      <w:pPr>
        <w:pStyle w:val="ConsPlusNormal"/>
        <w:spacing w:before="220"/>
        <w:ind w:firstLine="540"/>
        <w:jc w:val="both"/>
      </w:pPr>
      <w:r>
        <w:t>C</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t>реклоузеров</w:t>
      </w:r>
      <w:proofErr w:type="spellEnd"/>
      <w:r>
        <w:t>, распределительных пунктов, переключательных пунктов) на i-м уровне напряжения;</w:t>
      </w:r>
    </w:p>
    <w:p w:rsidR="00DA1723" w:rsidRDefault="00DA1723">
      <w:pPr>
        <w:pStyle w:val="ConsPlusNormal"/>
        <w:spacing w:before="220"/>
        <w:ind w:firstLine="540"/>
        <w:jc w:val="both"/>
      </w:pPr>
      <w:r>
        <w:t>C</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w:t>
      </w:r>
    </w:p>
    <w:p w:rsidR="00DA1723" w:rsidRDefault="00DA1723">
      <w:pPr>
        <w:pStyle w:val="ConsPlusNormal"/>
        <w:spacing w:before="220"/>
        <w:ind w:firstLine="540"/>
        <w:jc w:val="both"/>
      </w:pPr>
      <w:r>
        <w:t>C</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t>кВ</w:t>
      </w:r>
      <w:proofErr w:type="spellEnd"/>
      <w:r>
        <w:t>;</w:t>
      </w:r>
    </w:p>
    <w:p w:rsidR="00DA1723" w:rsidRDefault="00DA1723">
      <w:pPr>
        <w:pStyle w:val="ConsPlusNormal"/>
        <w:spacing w:before="220"/>
        <w:ind w:firstLine="540"/>
        <w:jc w:val="both"/>
      </w:pPr>
      <w:r>
        <w:lastRenderedPageBreak/>
        <w:t>C</w:t>
      </w:r>
      <w:r>
        <w:rPr>
          <w:vertAlign w:val="subscript"/>
        </w:rPr>
        <w:t>7i</w:t>
      </w:r>
      <w: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t>кВ</w:t>
      </w:r>
      <w:proofErr w:type="spellEnd"/>
      <w:r>
        <w:t xml:space="preserve"> и выше (ПС);</w:t>
      </w:r>
    </w:p>
    <w:p w:rsidR="00DA1723" w:rsidRDefault="00DA1723">
      <w:pPr>
        <w:pStyle w:val="ConsPlusNormal"/>
        <w:spacing w:before="220"/>
        <w:ind w:firstLine="540"/>
        <w:jc w:val="both"/>
      </w:pPr>
      <w:r>
        <w:t>C</w:t>
      </w:r>
      <w:r>
        <w:rPr>
          <w:vertAlign w:val="subscript"/>
        </w:rPr>
        <w:t>8i</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w:t>
      </w:r>
    </w:p>
    <w:p w:rsidR="00DA1723" w:rsidRDefault="00DA1723">
      <w:pPr>
        <w:pStyle w:val="ConsPlusNormal"/>
        <w:spacing w:before="220"/>
        <w:ind w:firstLine="540"/>
        <w:jc w:val="both"/>
      </w:pPr>
      <w:r>
        <w:t>L</w:t>
      </w:r>
      <w:r>
        <w:rPr>
          <w:vertAlign w:val="subscript"/>
        </w:rPr>
        <w:t>2</w:t>
      </w:r>
      <w:r>
        <w:t xml:space="preserve"> - суммарная протяженность воздушных линий электропередачи на i-м уровне напряжения, строительство которых предусмотрено согласно выданным техническим условиям для технологического присоединения Заявителя (</w:t>
      </w:r>
      <w:proofErr w:type="gramStart"/>
      <w:r>
        <w:t>км</w:t>
      </w:r>
      <w:proofErr w:type="gramEnd"/>
      <w:r>
        <w:t>);</w:t>
      </w:r>
    </w:p>
    <w:p w:rsidR="00DA1723" w:rsidRDefault="00DA1723">
      <w:pPr>
        <w:pStyle w:val="ConsPlusNormal"/>
        <w:spacing w:before="220"/>
        <w:ind w:firstLine="540"/>
        <w:jc w:val="both"/>
      </w:pPr>
      <w:r>
        <w:t>L</w:t>
      </w:r>
      <w:r>
        <w:rPr>
          <w:vertAlign w:val="subscript"/>
        </w:rPr>
        <w:t>3</w:t>
      </w:r>
      <w:r>
        <w:t xml:space="preserve"> - суммарная протяженность кабельных линий электропередачи на i-м уровне напряжения, строительство которых предусмотрено согласно выданным техническим условиям для технологического присоединения Заявителя (</w:t>
      </w:r>
      <w:proofErr w:type="gramStart"/>
      <w:r>
        <w:t>км</w:t>
      </w:r>
      <w:proofErr w:type="gramEnd"/>
      <w:r>
        <w:t>);</w:t>
      </w:r>
    </w:p>
    <w:p w:rsidR="00DA1723" w:rsidRDefault="00DA1723">
      <w:pPr>
        <w:pStyle w:val="ConsPlusNormal"/>
        <w:spacing w:before="220"/>
        <w:ind w:firstLine="540"/>
        <w:jc w:val="both"/>
      </w:pPr>
      <w:proofErr w:type="spellStart"/>
      <w:r>
        <w:t>q</w:t>
      </w:r>
      <w:r>
        <w:rPr>
          <w:vertAlign w:val="subscript"/>
        </w:rPr>
        <w:t>i</w:t>
      </w:r>
      <w:proofErr w:type="spellEnd"/>
      <w:r>
        <w:t xml:space="preserve"> - количество точек коммерческого учета электрической энергии (мощности);</w:t>
      </w:r>
    </w:p>
    <w:p w:rsidR="00DA1723" w:rsidRDefault="00DA1723">
      <w:pPr>
        <w:pStyle w:val="ConsPlusNormal"/>
        <w:spacing w:before="220"/>
        <w:ind w:firstLine="540"/>
        <w:jc w:val="both"/>
      </w:pPr>
      <w:r>
        <w:t>i - класс напряжения строящихся объектов электросетевого хозяйства;</w:t>
      </w:r>
    </w:p>
    <w:p w:rsidR="00DA1723" w:rsidRDefault="00DA1723">
      <w:pPr>
        <w:pStyle w:val="ConsPlusNormal"/>
        <w:spacing w:before="220"/>
        <w:ind w:firstLine="540"/>
        <w:jc w:val="both"/>
      </w:pPr>
      <w:proofErr w:type="spellStart"/>
      <w:r>
        <w:t>N</w:t>
      </w:r>
      <w:r>
        <w:rPr>
          <w:vertAlign w:val="subscript"/>
        </w:rPr>
        <w:t>max</w:t>
      </w:r>
      <w:proofErr w:type="spellEnd"/>
      <w:r>
        <w:t xml:space="preserve"> - максимальная присоединяемая мощность.</w:t>
      </w:r>
    </w:p>
    <w:p w:rsidR="00DA1723" w:rsidRDefault="00DA1723">
      <w:pPr>
        <w:pStyle w:val="ConsPlusNormal"/>
        <w:spacing w:before="220"/>
        <w:ind w:firstLine="540"/>
        <w:jc w:val="both"/>
      </w:pPr>
      <w:r>
        <w:t xml:space="preserve">В </w:t>
      </w:r>
      <w:proofErr w:type="gramStart"/>
      <w:r>
        <w:t>случае</w:t>
      </w:r>
      <w:proofErr w:type="gramEnd"/>
      <w:r>
        <w:t xml:space="preserve"> когда согласно выданным техническим условиям для технологического присоединения Заявителя предусмотрено строительство </w:t>
      </w:r>
      <w:proofErr w:type="spellStart"/>
      <w:r>
        <w:t>двухцепной</w:t>
      </w:r>
      <w:proofErr w:type="spellEnd"/>
      <w:r>
        <w:t xml:space="preserve"> воздушной линии электропередачи, расходы на строительство определяются как сумма стандартизированных тарифных ставок на покрытие расходов сетевой организации на строительство воздушной линии с установкой опор и на строительство воздушной линии по существующим опорам, умноженная на протяженность трассы линии электропередачи.</w:t>
      </w:r>
    </w:p>
    <w:p w:rsidR="00DA1723" w:rsidRDefault="00DA1723">
      <w:pPr>
        <w:pStyle w:val="ConsPlusNormal"/>
        <w:spacing w:before="220"/>
        <w:ind w:firstLine="540"/>
        <w:jc w:val="both"/>
      </w:pPr>
      <w:r>
        <w:t>2. Формула для расчета платы за технологическое присоединение с применением ставок за единицу максимальной мощности:</w:t>
      </w:r>
    </w:p>
    <w:p w:rsidR="00DA1723" w:rsidRDefault="00DA1723">
      <w:pPr>
        <w:pStyle w:val="ConsPlusNormal"/>
        <w:jc w:val="both"/>
      </w:pPr>
    </w:p>
    <w:p w:rsidR="00DA1723" w:rsidRPr="00DA1723" w:rsidRDefault="00DA1723">
      <w:pPr>
        <w:pStyle w:val="ConsPlusNormal"/>
        <w:ind w:firstLine="540"/>
        <w:jc w:val="both"/>
        <w:rPr>
          <w:lang w:val="en-US"/>
        </w:rPr>
      </w:pPr>
      <w:r w:rsidRPr="00DA1723">
        <w:rPr>
          <w:lang w:val="en-US"/>
        </w:rPr>
        <w:t>T = C</w:t>
      </w:r>
      <w:r w:rsidRPr="00DA1723">
        <w:rPr>
          <w:vertAlign w:val="subscript"/>
          <w:lang w:val="en-US"/>
        </w:rPr>
        <w:t>1</w:t>
      </w:r>
      <w:r w:rsidRPr="00DA1723">
        <w:rPr>
          <w:vertAlign w:val="superscript"/>
          <w:lang w:val="en-US"/>
        </w:rPr>
        <w:t>max</w:t>
      </w:r>
      <w:r w:rsidRPr="00DA1723">
        <w:rPr>
          <w:lang w:val="en-US"/>
        </w:rPr>
        <w:t xml:space="preserve"> x N</w:t>
      </w:r>
      <w:r w:rsidRPr="00DA1723">
        <w:rPr>
          <w:vertAlign w:val="subscript"/>
          <w:lang w:val="en-US"/>
        </w:rPr>
        <w:t>max</w:t>
      </w:r>
      <w:r w:rsidRPr="00DA1723">
        <w:rPr>
          <w:lang w:val="en-US"/>
        </w:rPr>
        <w:t xml:space="preserve"> + (C</w:t>
      </w:r>
      <w:r w:rsidRPr="00DA1723">
        <w:rPr>
          <w:vertAlign w:val="subscript"/>
          <w:lang w:val="en-US"/>
        </w:rPr>
        <w:t>2</w:t>
      </w:r>
      <w:r w:rsidRPr="00DA1723">
        <w:rPr>
          <w:vertAlign w:val="superscript"/>
          <w:lang w:val="en-US"/>
        </w:rPr>
        <w:t>max</w:t>
      </w:r>
      <w:r w:rsidRPr="00DA1723">
        <w:rPr>
          <w:lang w:val="en-US"/>
        </w:rPr>
        <w:t xml:space="preserve"> + C</w:t>
      </w:r>
      <w:r w:rsidRPr="00DA1723">
        <w:rPr>
          <w:vertAlign w:val="subscript"/>
          <w:lang w:val="en-US"/>
        </w:rPr>
        <w:t>3</w:t>
      </w:r>
      <w:r w:rsidRPr="00DA1723">
        <w:rPr>
          <w:vertAlign w:val="superscript"/>
          <w:lang w:val="en-US"/>
        </w:rPr>
        <w:t>max</w:t>
      </w:r>
      <w:r w:rsidRPr="00DA1723">
        <w:rPr>
          <w:lang w:val="en-US"/>
        </w:rPr>
        <w:t xml:space="preserve"> + C</w:t>
      </w:r>
      <w:r w:rsidRPr="00DA1723">
        <w:rPr>
          <w:vertAlign w:val="subscript"/>
          <w:lang w:val="en-US"/>
        </w:rPr>
        <w:t>4</w:t>
      </w:r>
      <w:r w:rsidRPr="00DA1723">
        <w:rPr>
          <w:vertAlign w:val="superscript"/>
          <w:lang w:val="en-US"/>
        </w:rPr>
        <w:t>max</w:t>
      </w:r>
      <w:r w:rsidRPr="00DA1723">
        <w:rPr>
          <w:lang w:val="en-US"/>
        </w:rPr>
        <w:t xml:space="preserve"> + C</w:t>
      </w:r>
      <w:r w:rsidRPr="00DA1723">
        <w:rPr>
          <w:vertAlign w:val="subscript"/>
          <w:lang w:val="en-US"/>
        </w:rPr>
        <w:t>5</w:t>
      </w:r>
      <w:r w:rsidRPr="00DA1723">
        <w:rPr>
          <w:vertAlign w:val="superscript"/>
          <w:lang w:val="en-US"/>
        </w:rPr>
        <w:t>max</w:t>
      </w:r>
      <w:r w:rsidRPr="00DA1723">
        <w:rPr>
          <w:lang w:val="en-US"/>
        </w:rPr>
        <w:t xml:space="preserve"> + C</w:t>
      </w:r>
      <w:r w:rsidRPr="00DA1723">
        <w:rPr>
          <w:vertAlign w:val="subscript"/>
          <w:lang w:val="en-US"/>
        </w:rPr>
        <w:t>6</w:t>
      </w:r>
      <w:r w:rsidRPr="00DA1723">
        <w:rPr>
          <w:vertAlign w:val="superscript"/>
          <w:lang w:val="en-US"/>
        </w:rPr>
        <w:t>max</w:t>
      </w:r>
      <w:r w:rsidRPr="00DA1723">
        <w:rPr>
          <w:lang w:val="en-US"/>
        </w:rPr>
        <w:t xml:space="preserve"> + C</w:t>
      </w:r>
      <w:r w:rsidRPr="00DA1723">
        <w:rPr>
          <w:vertAlign w:val="subscript"/>
          <w:lang w:val="en-US"/>
        </w:rPr>
        <w:t>7</w:t>
      </w:r>
      <w:r w:rsidRPr="00DA1723">
        <w:rPr>
          <w:vertAlign w:val="superscript"/>
          <w:lang w:val="en-US"/>
        </w:rPr>
        <w:t>max</w:t>
      </w:r>
      <w:r w:rsidRPr="00DA1723">
        <w:rPr>
          <w:lang w:val="en-US"/>
        </w:rPr>
        <w:t xml:space="preserve"> + C</w:t>
      </w:r>
      <w:r w:rsidRPr="00DA1723">
        <w:rPr>
          <w:vertAlign w:val="subscript"/>
          <w:lang w:val="en-US"/>
        </w:rPr>
        <w:t>8</w:t>
      </w:r>
      <w:r w:rsidRPr="00DA1723">
        <w:rPr>
          <w:vertAlign w:val="superscript"/>
          <w:lang w:val="en-US"/>
        </w:rPr>
        <w:t>max</w:t>
      </w:r>
      <w:r w:rsidRPr="00DA1723">
        <w:rPr>
          <w:lang w:val="en-US"/>
        </w:rPr>
        <w:t>) x N</w:t>
      </w:r>
      <w:r w:rsidRPr="00DA1723">
        <w:rPr>
          <w:vertAlign w:val="subscript"/>
          <w:lang w:val="en-US"/>
        </w:rPr>
        <w:t>max</w:t>
      </w:r>
    </w:p>
    <w:p w:rsidR="00DA1723" w:rsidRPr="00DA1723" w:rsidRDefault="00DA1723">
      <w:pPr>
        <w:pStyle w:val="ConsPlusNormal"/>
        <w:jc w:val="both"/>
        <w:rPr>
          <w:lang w:val="en-US"/>
        </w:rPr>
      </w:pPr>
    </w:p>
    <w:p w:rsidR="00DA1723" w:rsidRDefault="00DA1723">
      <w:pPr>
        <w:pStyle w:val="ConsPlusNormal"/>
        <w:ind w:firstLine="540"/>
        <w:jc w:val="both"/>
      </w:pPr>
      <w:r>
        <w:t>где:</w:t>
      </w:r>
    </w:p>
    <w:p w:rsidR="00DA1723" w:rsidRDefault="00DA1723">
      <w:pPr>
        <w:pStyle w:val="ConsPlusNormal"/>
        <w:spacing w:before="220"/>
        <w:ind w:firstLine="540"/>
        <w:jc w:val="both"/>
      </w:pPr>
      <w:r>
        <w:t>T - плата за технологическое присоединение рассчитанная на основании ставок платы за единицу максимальной мощности (руб.);</w:t>
      </w:r>
    </w:p>
    <w:p w:rsidR="00DA1723" w:rsidRDefault="00DA1723">
      <w:pPr>
        <w:pStyle w:val="ConsPlusNormal"/>
        <w:spacing w:before="220"/>
        <w:ind w:firstLine="540"/>
        <w:jc w:val="both"/>
      </w:pPr>
      <w:r>
        <w:t>C</w:t>
      </w:r>
      <w:r>
        <w:rPr>
          <w:vertAlign w:val="subscript"/>
        </w:rPr>
        <w:t>1</w:t>
      </w:r>
      <w:r>
        <w:rPr>
          <w:vertAlign w:val="superscript"/>
        </w:rPr>
        <w:t>max</w:t>
      </w:r>
      <w:r>
        <w:t xml:space="preserve"> - ставка платы на организационные мероприятия согласно </w:t>
      </w:r>
      <w:hyperlink r:id="rId16" w:history="1">
        <w:r>
          <w:rPr>
            <w:color w:val="0000FF"/>
          </w:rPr>
          <w:t>пункту 16</w:t>
        </w:r>
      </w:hyperlink>
      <w:r>
        <w:t xml:space="preserve"> Методических указаний по определению размера платы за технологическое присоединение к электрическим сетям;</w:t>
      </w:r>
    </w:p>
    <w:p w:rsidR="00DA1723" w:rsidRDefault="00DA1723">
      <w:pPr>
        <w:pStyle w:val="ConsPlusNormal"/>
        <w:spacing w:before="220"/>
        <w:ind w:firstLine="540"/>
        <w:jc w:val="both"/>
      </w:pPr>
      <w:r>
        <w:t>C</w:t>
      </w:r>
      <w:r>
        <w:rPr>
          <w:vertAlign w:val="subscript"/>
        </w:rPr>
        <w:t>2</w:t>
      </w:r>
      <w:r>
        <w:rPr>
          <w:vertAlign w:val="superscript"/>
        </w:rPr>
        <w:t>max</w:t>
      </w:r>
      <w:r>
        <w:t xml:space="preserve"> - ставка платы за максимальную присоединяемую мощность на выполнение мероприятий по строительству воздушной линии электропередачи;</w:t>
      </w:r>
    </w:p>
    <w:p w:rsidR="00DA1723" w:rsidRDefault="00DA1723">
      <w:pPr>
        <w:pStyle w:val="ConsPlusNormal"/>
        <w:spacing w:before="220"/>
        <w:ind w:firstLine="540"/>
        <w:jc w:val="both"/>
      </w:pPr>
      <w:r>
        <w:t>C</w:t>
      </w:r>
      <w:r>
        <w:rPr>
          <w:vertAlign w:val="subscript"/>
        </w:rPr>
        <w:t>3</w:t>
      </w:r>
      <w:r>
        <w:rPr>
          <w:vertAlign w:val="superscript"/>
        </w:rPr>
        <w:t>max</w:t>
      </w:r>
      <w:r>
        <w:t xml:space="preserve"> - ставка платы за максимальную присоединяемую мощность на выполнение мероприятий по строительству кабельной линии электропередачи;</w:t>
      </w:r>
    </w:p>
    <w:p w:rsidR="00DA1723" w:rsidRDefault="00DA1723">
      <w:pPr>
        <w:pStyle w:val="ConsPlusNormal"/>
        <w:spacing w:before="220"/>
        <w:ind w:firstLine="540"/>
        <w:jc w:val="both"/>
      </w:pPr>
      <w:r>
        <w:t>C</w:t>
      </w:r>
      <w:r>
        <w:rPr>
          <w:vertAlign w:val="subscript"/>
        </w:rPr>
        <w:t>4</w:t>
      </w:r>
      <w:r>
        <w:rPr>
          <w:vertAlign w:val="superscript"/>
        </w:rPr>
        <w:t>max</w:t>
      </w:r>
      <w:r>
        <w:t xml:space="preserve"> - ставка платы за максимальную присоединяемую мощность на выполнение мероприятий по строительству пунктов секционирования (</w:t>
      </w:r>
      <w:proofErr w:type="spellStart"/>
      <w:r>
        <w:t>реклоузеров</w:t>
      </w:r>
      <w:proofErr w:type="spellEnd"/>
      <w:r>
        <w:t xml:space="preserve">, распределительных пунктов, переключательных пунктов) </w:t>
      </w:r>
      <w:proofErr w:type="gramStart"/>
      <w:r>
        <w:t>на</w:t>
      </w:r>
      <w:proofErr w:type="gramEnd"/>
      <w:r>
        <w:t>;</w:t>
      </w:r>
    </w:p>
    <w:p w:rsidR="00DA1723" w:rsidRDefault="00DA1723">
      <w:pPr>
        <w:pStyle w:val="ConsPlusNormal"/>
        <w:spacing w:before="220"/>
        <w:ind w:firstLine="540"/>
        <w:jc w:val="both"/>
      </w:pPr>
      <w:r>
        <w:t>C</w:t>
      </w:r>
      <w:r>
        <w:rPr>
          <w:vertAlign w:val="subscript"/>
        </w:rPr>
        <w:t>5</w:t>
      </w:r>
      <w:r>
        <w:rPr>
          <w:vertAlign w:val="superscript"/>
        </w:rPr>
        <w:t>max</w:t>
      </w:r>
      <w:r>
        <w:t xml:space="preserve"> - ставка платы за максимальную присоединяемую мощность на выполнение мероприятий по строительству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w:t>
      </w:r>
    </w:p>
    <w:p w:rsidR="00DA1723" w:rsidRDefault="00DA1723">
      <w:pPr>
        <w:pStyle w:val="ConsPlusNormal"/>
        <w:spacing w:before="220"/>
        <w:ind w:firstLine="540"/>
        <w:jc w:val="both"/>
      </w:pPr>
      <w:r>
        <w:t>C</w:t>
      </w:r>
      <w:r>
        <w:rPr>
          <w:vertAlign w:val="subscript"/>
        </w:rPr>
        <w:t>6</w:t>
      </w:r>
      <w:r>
        <w:rPr>
          <w:vertAlign w:val="superscript"/>
        </w:rPr>
        <w:t>max</w:t>
      </w:r>
      <w:r>
        <w:t xml:space="preserve"> _ ставка платы за максимальную присоединяемую мощность на выполнение мероприятий по строительству распределительных трансформаторных подстанций (РТП) с уровнем напряжения до 35 </w:t>
      </w:r>
      <w:proofErr w:type="spellStart"/>
      <w:r>
        <w:t>кВ</w:t>
      </w:r>
      <w:proofErr w:type="spellEnd"/>
      <w:r>
        <w:t>;</w:t>
      </w:r>
    </w:p>
    <w:p w:rsidR="00DA1723" w:rsidRDefault="00DA1723">
      <w:pPr>
        <w:pStyle w:val="ConsPlusNormal"/>
        <w:spacing w:before="220"/>
        <w:ind w:firstLine="540"/>
        <w:jc w:val="both"/>
      </w:pPr>
      <w:r>
        <w:t>C</w:t>
      </w:r>
      <w:r>
        <w:rPr>
          <w:vertAlign w:val="subscript"/>
        </w:rPr>
        <w:t>7</w:t>
      </w:r>
      <w:r>
        <w:rPr>
          <w:vertAlign w:val="superscript"/>
        </w:rPr>
        <w:t>max</w:t>
      </w:r>
      <w:r>
        <w:t xml:space="preserve"> - ставка платы за максимальную присоединяемую мощность на выполнение мероприятий по строительству подстанций уровнем напряжения 35 </w:t>
      </w:r>
      <w:proofErr w:type="spellStart"/>
      <w:r>
        <w:t>кВ</w:t>
      </w:r>
      <w:proofErr w:type="spellEnd"/>
      <w:r>
        <w:t xml:space="preserve"> и выше (ПС);</w:t>
      </w:r>
    </w:p>
    <w:p w:rsidR="00DA1723" w:rsidRDefault="00DA1723">
      <w:pPr>
        <w:pStyle w:val="ConsPlusNormal"/>
        <w:spacing w:before="220"/>
        <w:ind w:firstLine="540"/>
        <w:jc w:val="both"/>
      </w:pPr>
      <w:r>
        <w:lastRenderedPageBreak/>
        <w:t>C</w:t>
      </w:r>
      <w:r>
        <w:rPr>
          <w:vertAlign w:val="subscript"/>
        </w:rPr>
        <w:t>8</w:t>
      </w:r>
      <w:r>
        <w:rPr>
          <w:vertAlign w:val="superscript"/>
        </w:rPr>
        <w:t>max</w:t>
      </w:r>
      <w:r>
        <w:t xml:space="preserve"> - ставка платы за максимальную присоединяемую мощность на выполнение мероприятий по обеспечению средствами коммерческого учета электрической энергии (мощности).</w:t>
      </w:r>
    </w:p>
    <w:p w:rsidR="00DA1723" w:rsidRDefault="00DA1723">
      <w:pPr>
        <w:pStyle w:val="ConsPlusNormal"/>
        <w:spacing w:before="220"/>
        <w:ind w:firstLine="540"/>
        <w:jc w:val="both"/>
      </w:pPr>
      <w:r>
        <w:t xml:space="preserve">3. В </w:t>
      </w:r>
      <w:proofErr w:type="gramStart"/>
      <w:r>
        <w:t>случае</w:t>
      </w:r>
      <w:proofErr w:type="gramEnd"/>
      <w:r>
        <w:t xml:space="preserve">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t>Р</w:t>
      </w:r>
      <w:r>
        <w:rPr>
          <w:vertAlign w:val="subscript"/>
        </w:rPr>
        <w:t>общ</w:t>
      </w:r>
      <w:proofErr w:type="spellEnd"/>
      <w:r>
        <w:t>) определяется следующим образом:</w:t>
      </w:r>
    </w:p>
    <w:p w:rsidR="00DA1723" w:rsidRDefault="00DA1723">
      <w:pPr>
        <w:pStyle w:val="ConsPlusNormal"/>
        <w:jc w:val="both"/>
      </w:pPr>
    </w:p>
    <w:p w:rsidR="00DA1723" w:rsidRDefault="00DA1723">
      <w:pPr>
        <w:pStyle w:val="ConsPlusNormal"/>
        <w:jc w:val="center"/>
      </w:pPr>
      <w:proofErr w:type="spellStart"/>
      <w:r>
        <w:t>Р</w:t>
      </w:r>
      <w:r>
        <w:rPr>
          <w:vertAlign w:val="subscript"/>
        </w:rPr>
        <w:t>общ</w:t>
      </w:r>
      <w:proofErr w:type="spellEnd"/>
      <w:r>
        <w:t xml:space="preserve"> </w:t>
      </w:r>
      <w:r>
        <w:rPr>
          <w:vertAlign w:val="superscript"/>
        </w:rPr>
        <w:t>=</w:t>
      </w:r>
      <w:r>
        <w:t xml:space="preserve"> </w:t>
      </w:r>
      <w:proofErr w:type="gramStart"/>
      <w:r>
        <w:t>Р</w:t>
      </w:r>
      <w:proofErr w:type="gramEnd"/>
      <w:r>
        <w:t xml:space="preserve"> + (Р</w:t>
      </w:r>
      <w:r>
        <w:rPr>
          <w:vertAlign w:val="subscript"/>
        </w:rPr>
        <w:t>ист1</w:t>
      </w:r>
      <w:r>
        <w:t xml:space="preserve"> + Р</w:t>
      </w:r>
      <w:r>
        <w:rPr>
          <w:vertAlign w:val="subscript"/>
        </w:rPr>
        <w:t>ист2</w:t>
      </w:r>
      <w:r>
        <w:t>)</w:t>
      </w:r>
    </w:p>
    <w:p w:rsidR="00DA1723" w:rsidRDefault="00DA1723">
      <w:pPr>
        <w:pStyle w:val="ConsPlusNormal"/>
        <w:jc w:val="both"/>
      </w:pPr>
    </w:p>
    <w:p w:rsidR="00DA1723" w:rsidRDefault="00DA1723">
      <w:pPr>
        <w:pStyle w:val="ConsPlusNormal"/>
        <w:ind w:firstLine="540"/>
        <w:jc w:val="both"/>
      </w:pPr>
      <w:r>
        <w:t>где:</w:t>
      </w:r>
    </w:p>
    <w:p w:rsidR="00DA1723" w:rsidRDefault="00DA1723">
      <w:pPr>
        <w:pStyle w:val="ConsPlusNormal"/>
        <w:spacing w:before="220"/>
        <w:ind w:firstLine="540"/>
        <w:jc w:val="both"/>
      </w:pPr>
      <w:proofErr w:type="gramStart"/>
      <w:r>
        <w:t>Р</w:t>
      </w:r>
      <w:proofErr w:type="gramEnd"/>
      <w:r>
        <w:t xml:space="preserve"> - расходы на выполнение мероприятий, указанных в </w:t>
      </w:r>
      <w:hyperlink r:id="rId17" w:history="1">
        <w:r>
          <w:rPr>
            <w:color w:val="0000FF"/>
          </w:rPr>
          <w:t>пункте 16</w:t>
        </w:r>
      </w:hyperlink>
      <w:r>
        <w:t xml:space="preserve"> Методических указаний, за исключением указанных в подпункте "б" (руб.);</w:t>
      </w:r>
    </w:p>
    <w:p w:rsidR="00DA1723" w:rsidRDefault="00DA1723">
      <w:pPr>
        <w:pStyle w:val="ConsPlusNormal"/>
        <w:spacing w:before="220"/>
        <w:ind w:firstLine="540"/>
        <w:jc w:val="both"/>
      </w:pPr>
      <w:r>
        <w:t>Р</w:t>
      </w:r>
      <w:r>
        <w:rPr>
          <w:vertAlign w:val="subscript"/>
        </w:rPr>
        <w:t>ист</w:t>
      </w:r>
      <w:proofErr w:type="gramStart"/>
      <w:r>
        <w:rPr>
          <w:vertAlign w:val="subscript"/>
        </w:rPr>
        <w:t>1</w:t>
      </w:r>
      <w:proofErr w:type="gramEnd"/>
      <w:r>
        <w:t>, Р</w:t>
      </w:r>
      <w:r>
        <w:rPr>
          <w:vertAlign w:val="subscript"/>
        </w:rPr>
        <w:t>ист2</w:t>
      </w:r>
      <w:r>
        <w:t xml:space="preserve"> - расходы на выполнение мероприятий, предусмотренных </w:t>
      </w:r>
      <w:hyperlink r:id="rId18"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и второму независимым источникам энергоснабжения соответственно согласно </w:t>
      </w:r>
      <w:hyperlink r:id="rId19" w:history="1">
        <w:r>
          <w:rPr>
            <w:color w:val="0000FF"/>
          </w:rPr>
          <w:t>Главам II</w:t>
        </w:r>
      </w:hyperlink>
      <w:r>
        <w:t xml:space="preserve"> или </w:t>
      </w:r>
      <w:hyperlink r:id="rId20" w:history="1">
        <w:r>
          <w:rPr>
            <w:color w:val="0000FF"/>
          </w:rPr>
          <w:t>III</w:t>
        </w:r>
      </w:hyperlink>
      <w:r>
        <w:t xml:space="preserve"> Методических указаний (руб.).</w:t>
      </w:r>
    </w:p>
    <w:p w:rsidR="00DA1723" w:rsidRDefault="00DA1723">
      <w:pPr>
        <w:pStyle w:val="ConsPlusNormal"/>
        <w:spacing w:before="220"/>
        <w:ind w:firstLine="540"/>
        <w:jc w:val="both"/>
      </w:pPr>
      <w:r>
        <w:t xml:space="preserve">4. Для заявителей, осуществляющих технологическое присоединение своих </w:t>
      </w:r>
      <w:proofErr w:type="spellStart"/>
      <w:r>
        <w:t>энергопринимающих</w:t>
      </w:r>
      <w:proofErr w:type="spellEnd"/>
      <w:r>
        <w:t xml:space="preserve"> устройств максимальной мощностью не более 150 кВт, размер платы определяется по формуле:</w:t>
      </w:r>
    </w:p>
    <w:p w:rsidR="00DA1723" w:rsidRDefault="00DA1723">
      <w:pPr>
        <w:pStyle w:val="ConsPlusNormal"/>
        <w:spacing w:before="220"/>
        <w:ind w:firstLine="540"/>
        <w:jc w:val="both"/>
      </w:pPr>
      <w:r>
        <w:t>а) в случае применения стандартизированных тарифных ставок:</w:t>
      </w:r>
    </w:p>
    <w:p w:rsidR="00DA1723" w:rsidRDefault="00DA1723">
      <w:pPr>
        <w:pStyle w:val="ConsPlusNormal"/>
        <w:jc w:val="both"/>
      </w:pPr>
    </w:p>
    <w:p w:rsidR="00DA1723" w:rsidRDefault="00DA1723">
      <w:pPr>
        <w:pStyle w:val="ConsPlusNormal"/>
        <w:jc w:val="center"/>
      </w:pPr>
      <w:r>
        <w:t>P</w:t>
      </w:r>
      <w:r>
        <w:rPr>
          <w:vertAlign w:val="subscript"/>
        </w:rPr>
        <w:t>=&lt;150</w:t>
      </w:r>
      <w:r>
        <w:t xml:space="preserve"> = C</w:t>
      </w:r>
      <w:r>
        <w:rPr>
          <w:vertAlign w:val="subscript"/>
        </w:rPr>
        <w:t>1</w:t>
      </w:r>
      <w:r>
        <w:t xml:space="preserve"> + C</w:t>
      </w:r>
      <w:r>
        <w:rPr>
          <w:vertAlign w:val="subscript"/>
        </w:rPr>
        <w:t>8i</w:t>
      </w:r>
      <w:r>
        <w:t xml:space="preserve"> x </w:t>
      </w:r>
      <w:proofErr w:type="spellStart"/>
      <w:r>
        <w:t>q</w:t>
      </w:r>
      <w:r>
        <w:rPr>
          <w:vertAlign w:val="subscript"/>
        </w:rPr>
        <w:t>i</w:t>
      </w:r>
      <w:proofErr w:type="spellEnd"/>
      <w:r>
        <w:t>;</w:t>
      </w:r>
    </w:p>
    <w:p w:rsidR="00DA1723" w:rsidRDefault="00DA1723">
      <w:pPr>
        <w:pStyle w:val="ConsPlusNormal"/>
        <w:jc w:val="both"/>
      </w:pPr>
    </w:p>
    <w:p w:rsidR="00DA1723" w:rsidRDefault="00DA1723">
      <w:pPr>
        <w:pStyle w:val="ConsPlusNormal"/>
        <w:ind w:firstLine="540"/>
        <w:jc w:val="both"/>
      </w:pPr>
      <w:r>
        <w:t>б) в случае применения ставок за единицу максимальной мощности:</w:t>
      </w:r>
    </w:p>
    <w:p w:rsidR="00DA1723" w:rsidRDefault="00DA1723">
      <w:pPr>
        <w:pStyle w:val="ConsPlusNormal"/>
        <w:jc w:val="both"/>
      </w:pPr>
    </w:p>
    <w:p w:rsidR="00DA1723" w:rsidRPr="00DA1723" w:rsidRDefault="00DA1723">
      <w:pPr>
        <w:pStyle w:val="ConsPlusNormal"/>
        <w:jc w:val="center"/>
        <w:rPr>
          <w:lang w:val="en-US"/>
        </w:rPr>
      </w:pPr>
      <w:r w:rsidRPr="00DA1723">
        <w:rPr>
          <w:lang w:val="en-US"/>
        </w:rPr>
        <w:t>T</w:t>
      </w:r>
      <w:r w:rsidRPr="00DA1723">
        <w:rPr>
          <w:vertAlign w:val="subscript"/>
          <w:lang w:val="en-US"/>
        </w:rPr>
        <w:t>=&lt;150</w:t>
      </w:r>
      <w:r w:rsidRPr="00DA1723">
        <w:rPr>
          <w:lang w:val="en-US"/>
        </w:rPr>
        <w:t xml:space="preserve"> = C</w:t>
      </w:r>
      <w:r w:rsidRPr="00DA1723">
        <w:rPr>
          <w:vertAlign w:val="subscript"/>
          <w:lang w:val="en-US"/>
        </w:rPr>
        <w:t>1</w:t>
      </w:r>
      <w:r w:rsidRPr="00DA1723">
        <w:rPr>
          <w:vertAlign w:val="superscript"/>
          <w:lang w:val="en-US"/>
        </w:rPr>
        <w:t>max</w:t>
      </w:r>
      <w:r w:rsidRPr="00DA1723">
        <w:rPr>
          <w:lang w:val="en-US"/>
        </w:rPr>
        <w:t xml:space="preserve"> x </w:t>
      </w:r>
      <w:proofErr w:type="spellStart"/>
      <w:r w:rsidRPr="00DA1723">
        <w:rPr>
          <w:lang w:val="en-US"/>
        </w:rPr>
        <w:t>N</w:t>
      </w:r>
      <w:r w:rsidRPr="00DA1723">
        <w:rPr>
          <w:vertAlign w:val="subscript"/>
          <w:lang w:val="en-US"/>
        </w:rPr>
        <w:t>max</w:t>
      </w:r>
      <w:proofErr w:type="spellEnd"/>
      <w:r w:rsidRPr="00DA1723">
        <w:rPr>
          <w:lang w:val="en-US"/>
        </w:rPr>
        <w:t xml:space="preserve"> + C</w:t>
      </w:r>
      <w:r w:rsidRPr="00DA1723">
        <w:rPr>
          <w:vertAlign w:val="subscript"/>
          <w:lang w:val="en-US"/>
        </w:rPr>
        <w:t>8</w:t>
      </w:r>
      <w:r w:rsidRPr="00DA1723">
        <w:rPr>
          <w:vertAlign w:val="superscript"/>
          <w:lang w:val="en-US"/>
        </w:rPr>
        <w:t>max</w:t>
      </w:r>
      <w:r w:rsidRPr="00DA1723">
        <w:rPr>
          <w:lang w:val="en-US"/>
        </w:rPr>
        <w:t xml:space="preserve"> x </w:t>
      </w:r>
      <w:proofErr w:type="spellStart"/>
      <w:r w:rsidRPr="00DA1723">
        <w:rPr>
          <w:lang w:val="en-US"/>
        </w:rPr>
        <w:t>N</w:t>
      </w:r>
      <w:r w:rsidRPr="00DA1723">
        <w:rPr>
          <w:vertAlign w:val="subscript"/>
          <w:lang w:val="en-US"/>
        </w:rPr>
        <w:t>max</w:t>
      </w:r>
      <w:proofErr w:type="spellEnd"/>
      <w:r w:rsidRPr="00DA1723">
        <w:rPr>
          <w:lang w:val="en-US"/>
        </w:rPr>
        <w:t>.</w:t>
      </w:r>
    </w:p>
    <w:p w:rsidR="00DA1723" w:rsidRPr="00DA1723" w:rsidRDefault="00DA1723">
      <w:pPr>
        <w:pStyle w:val="ConsPlusNormal"/>
        <w:jc w:val="both"/>
        <w:rPr>
          <w:lang w:val="en-US"/>
        </w:rPr>
      </w:pPr>
    </w:p>
    <w:p w:rsidR="00DA1723" w:rsidRDefault="00DA1723">
      <w:pPr>
        <w:pStyle w:val="ConsPlusNormal"/>
        <w:ind w:firstLine="540"/>
        <w:jc w:val="both"/>
      </w:pPr>
      <w:r>
        <w:t>5.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DA1723" w:rsidRDefault="00DA1723">
      <w:pPr>
        <w:pStyle w:val="ConsPlusNormal"/>
        <w:spacing w:before="220"/>
        <w:ind w:firstLine="540"/>
        <w:jc w:val="both"/>
      </w:pPr>
      <w:proofErr w:type="gramStart"/>
      <w:r>
        <w:t>50 процентов стоимости мероприятий, предусмотренных техническими условиями, определяется в ценах года, соответствующего году утверждения платы;</w:t>
      </w:r>
      <w:proofErr w:type="gramEnd"/>
    </w:p>
    <w:p w:rsidR="00DA1723" w:rsidRDefault="00DA1723">
      <w:pPr>
        <w:pStyle w:val="ConsPlusNormal"/>
        <w:spacing w:before="220"/>
        <w:ind w:firstLine="540"/>
        <w:jc w:val="both"/>
      </w:pPr>
      <w:r>
        <w:t>50 процентов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roofErr w:type="gramStart"/>
      <w:r>
        <w:t>."</w:t>
      </w:r>
      <w:proofErr w:type="gramEnd"/>
      <w:r>
        <w:t>.</w:t>
      </w:r>
    </w:p>
    <w:p w:rsidR="00DA1723" w:rsidRDefault="00DA1723">
      <w:pPr>
        <w:pStyle w:val="ConsPlusNormal"/>
        <w:jc w:val="both"/>
      </w:pPr>
    </w:p>
    <w:p w:rsidR="00DA1723" w:rsidRDefault="00DA1723">
      <w:pPr>
        <w:pStyle w:val="ConsPlusNormal"/>
        <w:jc w:val="both"/>
      </w:pPr>
    </w:p>
    <w:p w:rsidR="00DA1723" w:rsidRDefault="00DA1723">
      <w:pPr>
        <w:pStyle w:val="ConsPlusNormal"/>
        <w:pBdr>
          <w:top w:val="single" w:sz="6" w:space="0" w:color="auto"/>
        </w:pBdr>
        <w:spacing w:before="100" w:after="100"/>
        <w:jc w:val="both"/>
        <w:rPr>
          <w:sz w:val="2"/>
          <w:szCs w:val="2"/>
        </w:rPr>
      </w:pPr>
    </w:p>
    <w:p w:rsidR="00263193" w:rsidRDefault="00263193">
      <w:bookmarkStart w:id="2" w:name="_GoBack"/>
      <w:bookmarkEnd w:id="2"/>
    </w:p>
    <w:sectPr w:rsidR="00263193" w:rsidSect="00BD3DBA">
      <w:pgSz w:w="11905" w:h="16838"/>
      <w:pgMar w:top="567" w:right="424"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23"/>
    <w:rsid w:val="00263193"/>
    <w:rsid w:val="006F1DFE"/>
    <w:rsid w:val="00DA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7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7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3CDD4BCB8221A998B41B5CCDE786146AA158B0BFB6323ED754E13A09067F1C4685B1E7C3893FB9192B6C0191F394DC0C580A00EB4E8D8ECfAM" TargetMode="External"/><Relationship Id="rId13" Type="http://schemas.openxmlformats.org/officeDocument/2006/relationships/hyperlink" Target="consultantplus://offline/ref=8833CDD4BCB8221A998B5FB8DAB2266B42A54C830DFD6072B0224844FFC061A484285D4B3F7C99FD9798E2935E41601D808E8DA814A8E8D3D4863C20E3f4M" TargetMode="External"/><Relationship Id="rId18" Type="http://schemas.openxmlformats.org/officeDocument/2006/relationships/hyperlink" Target="consultantplus://offline/ref=8833CDD4BCB8221A998B41B5CCDE786146AB1A8B0BFF6323ED754E13A09067F1C4685B1E7C3894FB9292B6C0191F394DC0C580A00EB4E8D8ECf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33CDD4BCB8221A998B41B5CCDE786146AA158605FA6323ED754E13A09067F1D66803127D3C8AFC9E87E0915FE4fAM" TargetMode="External"/><Relationship Id="rId12" Type="http://schemas.openxmlformats.org/officeDocument/2006/relationships/hyperlink" Target="consultantplus://offline/ref=8833CDD4BCB8221A998B5FB8DAB2266B42A54C830DFD6072B0224844FFC061A484285D4B3F7C99FD9799E2925E41601D808E8DA814A8E8D3D4863C20E3f4M" TargetMode="External"/><Relationship Id="rId17" Type="http://schemas.openxmlformats.org/officeDocument/2006/relationships/hyperlink" Target="consultantplus://offline/ref=8833CDD4BCB8221A998B41B5CCDE786146AB1A8B0BFF6323ED754E13A09067F1C4685B1E7C3894FB9492B6C0191F394DC0C580A00EB4E8D8ECfAM" TargetMode="External"/><Relationship Id="rId2" Type="http://schemas.microsoft.com/office/2007/relationships/stylesWithEffects" Target="stylesWithEffects.xml"/><Relationship Id="rId16" Type="http://schemas.openxmlformats.org/officeDocument/2006/relationships/hyperlink" Target="consultantplus://offline/ref=8833CDD4BCB8221A998B41B5CCDE786146AB1A8B0BFF6323ED754E13A09067F1C4685B1E7C3894FB9492B6C0191F394DC0C580A00EB4E8D8ECfAM" TargetMode="External"/><Relationship Id="rId20" Type="http://schemas.openxmlformats.org/officeDocument/2006/relationships/hyperlink" Target="consultantplus://offline/ref=8833CDD4BCB8221A998B41B5CCDE786146AB1A8B0BFF6323ED754E13A09067F1C4685B17776CC5B8C294E395434A3D52C6DB82EAf9M" TargetMode="External"/><Relationship Id="rId1" Type="http://schemas.openxmlformats.org/officeDocument/2006/relationships/styles" Target="styles.xml"/><Relationship Id="rId6" Type="http://schemas.openxmlformats.org/officeDocument/2006/relationships/hyperlink" Target="consultantplus://offline/ref=8833CDD4BCB8221A998B41B5CCDE786146AA108E08FB6323ED754E13A09067F1D66803127D3C8AFC9E87E0915FE4fAM" TargetMode="External"/><Relationship Id="rId11" Type="http://schemas.openxmlformats.org/officeDocument/2006/relationships/hyperlink" Target="consultantplus://offline/ref=8833CDD4BCB8221A998B5FB8DAB2266B42A54C830DFD6072B0224844FFC061A484285D4B3F7C99FD9799E2905841601D808E8DA814A8E8D3D4863C20E3f4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833CDD4BCB8221A998B41B5CCDE786146AB1A8B0BFF6323ED754E13A09067F1C4685B1E7C3894FB9492B6C0191F394DC0C580A00EB4E8D8ECfAM" TargetMode="External"/><Relationship Id="rId10" Type="http://schemas.openxmlformats.org/officeDocument/2006/relationships/hyperlink" Target="consultantplus://offline/ref=8833CDD4BCB8221A998B5FB8DAB2266B42A54C830DFD6F71B7274844FFC061A484285D4B3F7C99FD9799E2915441601D808E8DA814A8E8D3D4863C20E3f4M" TargetMode="External"/><Relationship Id="rId19" Type="http://schemas.openxmlformats.org/officeDocument/2006/relationships/hyperlink" Target="consultantplus://offline/ref=8833CDD4BCB8221A998B41B5CCDE786146AB1A8B0BFF6323ED754E13A09067F1C4685B1E7C3894F59492B6C0191F394DC0C580A00EB4E8D8ECfAM" TargetMode="External"/><Relationship Id="rId4" Type="http://schemas.openxmlformats.org/officeDocument/2006/relationships/webSettings" Target="webSettings.xml"/><Relationship Id="rId9" Type="http://schemas.openxmlformats.org/officeDocument/2006/relationships/hyperlink" Target="consultantplus://offline/ref=8833CDD4BCB8221A998B41B5CCDE786146AB1A8B0BFF6323ED754E13A09067F1C4685B1E7C3894FD9292B6C0191F394DC0C580A00EB4E8D8ECfAM" TargetMode="External"/><Relationship Id="rId14" Type="http://schemas.openxmlformats.org/officeDocument/2006/relationships/hyperlink" Target="consultantplus://offline/ref=8833CDD4BCB8221A998B5FB8DAB2266B42A54C830DFD6072B0224844FFC061A484285D4B3F7C99FD9798E3905A41601D808E8DA814A8E8D3D4863C20E3f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2020-09-14T12:31:00Z</dcterms:created>
  <dcterms:modified xsi:type="dcterms:W3CDTF">2020-09-14T12:32:00Z</dcterms:modified>
</cp:coreProperties>
</file>