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2240A6" w:rsidP="00D4256A">
            <w:r>
              <w:t xml:space="preserve">2 </w:t>
            </w:r>
            <w:r w:rsidR="00E21A76" w:rsidRPr="00A42261">
              <w:t>41</w:t>
            </w:r>
            <w:r>
              <w:t>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bookmarkStart w:id="0" w:name="_GoBack"/>
            <w:bookmarkEnd w:id="0"/>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16AED"/>
    <w:rsid w:val="002240A6"/>
    <w:rsid w:val="00232442"/>
    <w:rsid w:val="0035591B"/>
    <w:rsid w:val="004A539E"/>
    <w:rsid w:val="00513833"/>
    <w:rsid w:val="006161B6"/>
    <w:rsid w:val="00A42261"/>
    <w:rsid w:val="00A6099A"/>
    <w:rsid w:val="00AD32CA"/>
    <w:rsid w:val="00D4256A"/>
    <w:rsid w:val="00DE0525"/>
    <w:rsid w:val="00E21A76"/>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62</Pages>
  <Words>7109</Words>
  <Characters>40524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10</cp:revision>
  <dcterms:created xsi:type="dcterms:W3CDTF">2018-12-28T17:35:00Z</dcterms:created>
  <dcterms:modified xsi:type="dcterms:W3CDTF">2019-02-18T09:10:00Z</dcterms:modified>
</cp:coreProperties>
</file>