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64" w:rsidRPr="002C4264" w:rsidRDefault="002C4264" w:rsidP="002C4264">
      <w:pPr>
        <w:spacing w:after="0" w:line="240" w:lineRule="auto"/>
        <w:jc w:val="center"/>
        <w:rPr>
          <w:rFonts w:ascii="Times New Roman" w:eastAsia="Times New Roman" w:hAnsi="Times New Roman" w:cs="Times New Roman"/>
          <w:sz w:val="26"/>
          <w:szCs w:val="26"/>
          <w:lang w:eastAsia="ru-RU"/>
        </w:rPr>
      </w:pPr>
      <w:r w:rsidRPr="002C4264">
        <w:rPr>
          <w:rFonts w:ascii="Times New Roman" w:eastAsia="Times New Roman" w:hAnsi="Times New Roman" w:cs="Times New Roman"/>
          <w:b/>
          <w:bCs/>
          <w:sz w:val="26"/>
          <w:szCs w:val="26"/>
          <w:lang w:eastAsia="ru-RU"/>
        </w:rPr>
        <w:t xml:space="preserve">ПЛАН ЗАКУПКИ ТОВАРОВ, РАБОТ, УСЛУГ </w:t>
      </w:r>
      <w:r w:rsidRPr="002C4264">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2C4264">
              <w:rPr>
                <w:rFonts w:ascii="Times New Roman" w:eastAsia="Times New Roman" w:hAnsi="Times New Roman" w:cs="Times New Roman"/>
                <w:sz w:val="24"/>
                <w:szCs w:val="24"/>
                <w:lang w:eastAsia="ru-RU"/>
              </w:rPr>
              <w:t>ул</w:t>
            </w:r>
            <w:proofErr w:type="spellEnd"/>
            <w:r w:rsidRPr="002C4264">
              <w:rPr>
                <w:rFonts w:ascii="Times New Roman" w:eastAsia="Times New Roman" w:hAnsi="Times New Roman" w:cs="Times New Roman"/>
                <w:sz w:val="24"/>
                <w:szCs w:val="24"/>
                <w:lang w:eastAsia="ru-RU"/>
              </w:rPr>
              <w:t xml:space="preserve"> Гагарина, дом 50, корпус </w:t>
            </w:r>
            <w:proofErr w:type="spellStart"/>
            <w:r w:rsidRPr="002C4264">
              <w:rPr>
                <w:rFonts w:ascii="Times New Roman" w:eastAsia="Times New Roman" w:hAnsi="Times New Roman" w:cs="Times New Roman"/>
                <w:sz w:val="24"/>
                <w:szCs w:val="24"/>
                <w:lang w:eastAsia="ru-RU"/>
              </w:rPr>
              <w:t>КОРПУС</w:t>
            </w:r>
            <w:proofErr w:type="spellEnd"/>
            <w:r w:rsidRPr="002C4264">
              <w:rPr>
                <w:rFonts w:ascii="Times New Roman" w:eastAsia="Times New Roman" w:hAnsi="Times New Roman" w:cs="Times New Roman"/>
                <w:sz w:val="24"/>
                <w:szCs w:val="24"/>
                <w:lang w:eastAsia="ru-RU"/>
              </w:rPr>
              <w:t xml:space="preserve"> А</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7-86554-30140</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info@nevesk.ru</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2631802151</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263101001</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07424000000</w:t>
            </w:r>
          </w:p>
        </w:tc>
      </w:tr>
    </w:tbl>
    <w:p w:rsidR="002C4264" w:rsidRPr="002C4264" w:rsidRDefault="002C4264" w:rsidP="002C4264">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2C4264" w:rsidRPr="002C4264" w:rsidTr="002C426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Заказчик</w:t>
            </w: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C4264">
              <w:rPr>
                <w:rFonts w:ascii="Times New Roman" w:eastAsia="Times New Roman" w:hAnsi="Times New Roman" w:cs="Times New Roman"/>
                <w:sz w:val="24"/>
                <w:szCs w:val="24"/>
                <w:lang w:eastAsia="ru-RU"/>
              </w:rPr>
              <w:t>товарам,работам</w:t>
            </w:r>
            <w:proofErr w:type="gramEnd"/>
            <w:r w:rsidRPr="002C4264">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планируемая</w:t>
            </w:r>
            <w:proofErr w:type="gramEnd"/>
            <w:r w:rsidRPr="002C4264">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срок</w:t>
            </w:r>
            <w:proofErr w:type="gramEnd"/>
            <w:r w:rsidRPr="002C4264">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да</w:t>
            </w:r>
            <w:proofErr w:type="gramEnd"/>
            <w:r w:rsidRPr="002C4264">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Услуги по сопровождению экземпляров систем </w:t>
            </w:r>
            <w:proofErr w:type="spellStart"/>
            <w:r w:rsidRPr="002C4264">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w:t>
            </w:r>
            <w:r w:rsidRPr="002C4264">
              <w:rPr>
                <w:rFonts w:ascii="Times New Roman" w:eastAsia="Times New Roman" w:hAnsi="Times New Roman" w:cs="Times New Roman"/>
                <w:sz w:val="24"/>
                <w:szCs w:val="24"/>
                <w:lang w:eastAsia="ru-RU"/>
              </w:rPr>
              <w:lastRenderedPageBreak/>
              <w:t xml:space="preserve">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АСБ 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нефтепродуктов: бензин АИ-92, дизельно</w:t>
            </w:r>
            <w:r w:rsidRPr="002C4264">
              <w:rPr>
                <w:rFonts w:ascii="Times New Roman" w:eastAsia="Times New Roman" w:hAnsi="Times New Roman" w:cs="Times New Roman"/>
                <w:sz w:val="24"/>
                <w:szCs w:val="24"/>
                <w:lang w:eastAsia="ru-RU"/>
              </w:rPr>
              <w:lastRenderedPageBreak/>
              <w:t>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 xml:space="preserve">1. Товар должен соответствовать требованиям ТР ТС </w:t>
            </w:r>
            <w:r w:rsidRPr="002C4264">
              <w:rPr>
                <w:rFonts w:ascii="Times New Roman" w:eastAsia="Times New Roman" w:hAnsi="Times New Roman" w:cs="Times New Roman"/>
                <w:sz w:val="24"/>
                <w:szCs w:val="24"/>
                <w:lang w:eastAsia="ru-RU"/>
              </w:rPr>
              <w:lastRenderedPageBreak/>
              <w:t xml:space="preserve">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Литр;^</w:t>
            </w:r>
            <w:proofErr w:type="gramEnd"/>
            <w:r w:rsidRPr="002C4264">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w:t>
            </w:r>
            <w:r w:rsidRPr="002C4264">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w:t>
            </w:r>
            <w:r w:rsidRPr="002C4264">
              <w:rPr>
                <w:rFonts w:ascii="Times New Roman" w:eastAsia="Times New Roman" w:hAnsi="Times New Roman" w:cs="Times New Roman"/>
                <w:sz w:val="24"/>
                <w:szCs w:val="24"/>
                <w:lang w:eastAsia="ru-RU"/>
              </w:rPr>
              <w:lastRenderedPageBreak/>
              <w:t>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Литр;^</w:t>
            </w:r>
            <w:proofErr w:type="gramEnd"/>
            <w:r w:rsidRPr="002C4264">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304DA8">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строительно-монтажных работ по объекту: реконструкция ВЛ-0,4кВ №53 ул. </w:t>
            </w:r>
            <w:proofErr w:type="spellStart"/>
            <w:r w:rsidRPr="002C4264">
              <w:rPr>
                <w:rFonts w:ascii="Times New Roman" w:eastAsia="Times New Roman" w:hAnsi="Times New Roman" w:cs="Times New Roman"/>
                <w:sz w:val="24"/>
                <w:szCs w:val="24"/>
                <w:lang w:eastAsia="ru-RU"/>
              </w:rPr>
              <w:t>Д.Бедного</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2C4264">
              <w:rPr>
                <w:rFonts w:ascii="Times New Roman" w:eastAsia="Times New Roman" w:hAnsi="Times New Roman" w:cs="Times New Roman"/>
                <w:sz w:val="24"/>
                <w:szCs w:val="24"/>
                <w:lang w:eastAsia="ru-RU"/>
              </w:rPr>
              <w:t>г.Невинномысске</w:t>
            </w:r>
            <w:proofErr w:type="spellEnd"/>
            <w:r w:rsidRPr="002C4264">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B54DD7" w:rsidP="002C42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349 283,3</w:t>
            </w:r>
            <w:r w:rsidR="002C4264" w:rsidRPr="002C4264">
              <w:rPr>
                <w:rFonts w:ascii="Times New Roman" w:eastAsia="Times New Roman" w:hAnsi="Times New Roman" w:cs="Times New Roman"/>
                <w:sz w:val="24"/>
                <w:szCs w:val="24"/>
                <w:lang w:eastAsia="ru-RU"/>
              </w:rPr>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АПвПу</w:t>
            </w:r>
            <w:proofErr w:type="spellEnd"/>
            <w:r w:rsidRPr="002C4264">
              <w:rPr>
                <w:rFonts w:ascii="Times New Roman" w:eastAsia="Times New Roman" w:hAnsi="Times New Roman" w:cs="Times New Roman"/>
                <w:sz w:val="24"/>
                <w:szCs w:val="24"/>
                <w:lang w:eastAsia="ru-RU"/>
              </w:rPr>
              <w:t xml:space="preserve"> 1х70/50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АСБ 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Качество поставляемого товара должно удостоверяться сертификатом </w:t>
            </w:r>
            <w:proofErr w:type="spellStart"/>
            <w:r w:rsidRPr="002C4264">
              <w:rPr>
                <w:rFonts w:ascii="Times New Roman" w:eastAsia="Times New Roman" w:hAnsi="Times New Roman" w:cs="Times New Roman"/>
                <w:sz w:val="24"/>
                <w:szCs w:val="24"/>
                <w:lang w:eastAsia="ru-RU"/>
              </w:rPr>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Оказание услуг по страхованию залогового транспортного средства </w:t>
            </w:r>
            <w:proofErr w:type="spellStart"/>
            <w:r w:rsidRPr="002C4264">
              <w:rPr>
                <w:rFonts w:ascii="Times New Roman" w:eastAsia="Times New Roman" w:hAnsi="Times New Roman" w:cs="Times New Roman"/>
                <w:sz w:val="24"/>
                <w:szCs w:val="24"/>
                <w:lang w:eastAsia="ru-RU"/>
              </w:rPr>
              <w:t>Mercedes-Benz</w:t>
            </w:r>
            <w:proofErr w:type="spellEnd"/>
            <w:r w:rsidRPr="002C4264">
              <w:rPr>
                <w:rFonts w:ascii="Times New Roman" w:eastAsia="Times New Roman" w:hAnsi="Times New Roman" w:cs="Times New Roman"/>
                <w:sz w:val="24"/>
                <w:szCs w:val="24"/>
                <w:lang w:eastAsia="ru-RU"/>
              </w:rPr>
              <w:t xml:space="preserve"> GL 350 </w:t>
            </w:r>
            <w:proofErr w:type="spellStart"/>
            <w:r w:rsidRPr="002C4264">
              <w:rPr>
                <w:rFonts w:ascii="Times New Roman" w:eastAsia="Times New Roman" w:hAnsi="Times New Roman" w:cs="Times New Roman"/>
                <w:sz w:val="24"/>
                <w:szCs w:val="24"/>
                <w:lang w:eastAsia="ru-RU"/>
              </w:rPr>
              <w:t>Bluetec</w:t>
            </w:r>
            <w:proofErr w:type="spellEnd"/>
            <w:r w:rsidRPr="002C4264">
              <w:rPr>
                <w:rFonts w:ascii="Times New Roman" w:eastAsia="Times New Roman" w:hAnsi="Times New Roman" w:cs="Times New Roman"/>
                <w:sz w:val="24"/>
                <w:szCs w:val="24"/>
                <w:lang w:eastAsia="ru-RU"/>
              </w:rPr>
              <w:t xml:space="preserve"> 4 </w:t>
            </w:r>
            <w:proofErr w:type="spellStart"/>
            <w:r w:rsidRPr="002C4264">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Лада </w:t>
            </w:r>
            <w:proofErr w:type="spellStart"/>
            <w:r w:rsidRPr="002C4264">
              <w:rPr>
                <w:rFonts w:ascii="Times New Roman" w:eastAsia="Times New Roman" w:hAnsi="Times New Roman" w:cs="Times New Roman"/>
                <w:sz w:val="24"/>
                <w:szCs w:val="24"/>
                <w:lang w:eastAsia="ru-RU"/>
              </w:rPr>
              <w:t>Largus</w:t>
            </w:r>
            <w:proofErr w:type="spellEnd"/>
            <w:r w:rsidRPr="002C4264">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АПвПу</w:t>
            </w:r>
            <w:proofErr w:type="spellEnd"/>
            <w:r w:rsidRPr="002C4264">
              <w:rPr>
                <w:rFonts w:ascii="Times New Roman" w:eastAsia="Times New Roman" w:hAnsi="Times New Roman" w:cs="Times New Roman"/>
                <w:sz w:val="24"/>
                <w:szCs w:val="24"/>
                <w:lang w:eastAsia="ru-RU"/>
              </w:rPr>
              <w:t xml:space="preserve">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Кабель АСБ 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Период действия лимита ВКЛ – с июнь 2018 по май 2019; 2. Процентная ставка -13% (</w:t>
            </w:r>
            <w:proofErr w:type="gramStart"/>
            <w:r w:rsidRPr="002C4264">
              <w:rPr>
                <w:rFonts w:ascii="Times New Roman" w:eastAsia="Times New Roman" w:hAnsi="Times New Roman" w:cs="Times New Roman"/>
                <w:sz w:val="24"/>
                <w:szCs w:val="24"/>
                <w:lang w:eastAsia="ru-RU"/>
              </w:rPr>
              <w:t>Тринадцать )</w:t>
            </w:r>
            <w:proofErr w:type="gramEnd"/>
            <w:r w:rsidRPr="002C4264">
              <w:rPr>
                <w:rFonts w:ascii="Times New Roman" w:eastAsia="Times New Roman" w:hAnsi="Times New Roman" w:cs="Times New Roman"/>
                <w:sz w:val="24"/>
                <w:szCs w:val="24"/>
                <w:lang w:eastAsia="ru-RU"/>
              </w:rP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30 000 000.00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- 0.00</w:t>
            </w:r>
            <w:r w:rsidRPr="002C4264">
              <w:rPr>
                <w:rFonts w:ascii="Times New Roman" w:eastAsia="Times New Roman" w:hAnsi="Times New Roman" w:cs="Times New Roman"/>
                <w:sz w:val="24"/>
                <w:szCs w:val="24"/>
                <w:lang w:eastAsia="ru-RU"/>
              </w:rPr>
              <w:br/>
              <w:t>2019 г. - 30 000 000.00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166 000.00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- 0.00</w:t>
            </w:r>
            <w:r w:rsidRPr="002C4264">
              <w:rPr>
                <w:rFonts w:ascii="Times New Roman" w:eastAsia="Times New Roman" w:hAnsi="Times New Roman" w:cs="Times New Roman"/>
                <w:sz w:val="24"/>
                <w:szCs w:val="24"/>
                <w:lang w:eastAsia="ru-RU"/>
              </w:rPr>
              <w:br/>
              <w:t>2019 г. - 166 000.00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ПС </w:t>
            </w:r>
            <w:proofErr w:type="spellStart"/>
            <w:r w:rsidRPr="002C4264">
              <w:rPr>
                <w:rFonts w:ascii="Times New Roman" w:eastAsia="Times New Roman" w:hAnsi="Times New Roman" w:cs="Times New Roman"/>
                <w:sz w:val="24"/>
                <w:szCs w:val="24"/>
                <w:lang w:eastAsia="ru-RU"/>
              </w:rPr>
              <w:t>НовоНевинномысская</w:t>
            </w:r>
            <w:proofErr w:type="spellEnd"/>
            <w:r w:rsidRPr="002C4264">
              <w:rPr>
                <w:rFonts w:ascii="Times New Roman" w:eastAsia="Times New Roman" w:hAnsi="Times New Roman" w:cs="Times New Roman"/>
                <w:sz w:val="24"/>
                <w:szCs w:val="24"/>
                <w:lang w:eastAsia="ru-RU"/>
              </w:rPr>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АВБбШв</w:t>
            </w:r>
            <w:proofErr w:type="spellEnd"/>
            <w:r w:rsidRPr="002C4264">
              <w:rPr>
                <w:rFonts w:ascii="Times New Roman" w:eastAsia="Times New Roman" w:hAnsi="Times New Roman" w:cs="Times New Roman"/>
                <w:sz w:val="24"/>
                <w:szCs w:val="24"/>
                <w:lang w:eastAsia="ru-RU"/>
              </w:rPr>
              <w:t xml:space="preserve"> 1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600 000.00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- 300 000.00</w:t>
            </w:r>
            <w:r w:rsidRPr="002C4264">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Лада </w:t>
            </w:r>
            <w:proofErr w:type="spellStart"/>
            <w:r w:rsidRPr="002C4264">
              <w:rPr>
                <w:rFonts w:ascii="Times New Roman" w:eastAsia="Times New Roman" w:hAnsi="Times New Roman" w:cs="Times New Roman"/>
                <w:sz w:val="24"/>
                <w:szCs w:val="24"/>
                <w:lang w:eastAsia="ru-RU"/>
              </w:rPr>
              <w:t>Largus</w:t>
            </w:r>
            <w:proofErr w:type="spellEnd"/>
            <w:r w:rsidRPr="002C4264">
              <w:rPr>
                <w:rFonts w:ascii="Times New Roman" w:eastAsia="Times New Roman" w:hAnsi="Times New Roman" w:cs="Times New Roman"/>
                <w:sz w:val="24"/>
                <w:szCs w:val="24"/>
                <w:lang w:eastAsia="ru-RU"/>
              </w:rPr>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АВБбШв</w:t>
            </w:r>
            <w:proofErr w:type="spellEnd"/>
            <w:r w:rsidRPr="002C4264">
              <w:rPr>
                <w:rFonts w:ascii="Times New Roman" w:eastAsia="Times New Roman" w:hAnsi="Times New Roman" w:cs="Times New Roman"/>
                <w:sz w:val="24"/>
                <w:szCs w:val="24"/>
                <w:lang w:eastAsia="ru-RU"/>
              </w:rPr>
              <w:t xml:space="preserve"> 1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№51 </w:t>
            </w:r>
            <w:proofErr w:type="spellStart"/>
            <w:r w:rsidRPr="002C4264">
              <w:rPr>
                <w:rFonts w:ascii="Times New Roman" w:eastAsia="Times New Roman" w:hAnsi="Times New Roman" w:cs="Times New Roman"/>
                <w:sz w:val="24"/>
                <w:szCs w:val="24"/>
                <w:lang w:eastAsia="ru-RU"/>
              </w:rPr>
              <w:t>Постышева</w:t>
            </w:r>
            <w:proofErr w:type="spellEnd"/>
            <w:r w:rsidRPr="002C4264">
              <w:rPr>
                <w:rFonts w:ascii="Times New Roman" w:eastAsia="Times New Roman" w:hAnsi="Times New Roman" w:cs="Times New Roman"/>
                <w:sz w:val="24"/>
                <w:szCs w:val="24"/>
                <w:lang w:eastAsia="ru-RU"/>
              </w:rPr>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Соответствие с приказом </w:t>
            </w:r>
            <w:proofErr w:type="spellStart"/>
            <w:r w:rsidRPr="002C4264">
              <w:rPr>
                <w:rFonts w:ascii="Times New Roman" w:eastAsia="Times New Roman" w:hAnsi="Times New Roman" w:cs="Times New Roman"/>
                <w:sz w:val="24"/>
                <w:szCs w:val="24"/>
                <w:lang w:eastAsia="ru-RU"/>
              </w:rPr>
              <w:t>Минздравсоцразвития</w:t>
            </w:r>
            <w:proofErr w:type="spellEnd"/>
            <w:r w:rsidRPr="002C4264">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2C4264">
              <w:rPr>
                <w:rFonts w:ascii="Times New Roman" w:eastAsia="Times New Roman" w:hAnsi="Times New Roman" w:cs="Times New Roman"/>
                <w:sz w:val="24"/>
                <w:szCs w:val="24"/>
                <w:lang w:eastAsia="ru-RU"/>
              </w:rPr>
              <w:t>г.Невинномысске</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- 0.00</w:t>
            </w:r>
            <w:r w:rsidRPr="002C4264">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4 490 974.77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№11Ш (НГРЭС ЗРУ-6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2 164 245.00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2 268 171.86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w:t>
            </w:r>
            <w:proofErr w:type="gramEnd"/>
            <w:r w:rsidRPr="002C4264">
              <w:rPr>
                <w:rFonts w:ascii="Times New Roman" w:eastAsia="Times New Roman" w:hAnsi="Times New Roman" w:cs="Times New Roman"/>
                <w:sz w:val="24"/>
                <w:szCs w:val="24"/>
                <w:lang w:eastAsia="ru-RU"/>
              </w:rPr>
              <w:t xml:space="preserve"> Монтаж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47Ш (НГРЭС ЗРУ-6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2 141 523.44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2C4264">
              <w:rPr>
                <w:rFonts w:ascii="Times New Roman" w:eastAsia="Times New Roman" w:hAnsi="Times New Roman" w:cs="Times New Roman"/>
                <w:sz w:val="24"/>
                <w:szCs w:val="24"/>
                <w:lang w:eastAsia="ru-RU"/>
              </w:rPr>
              <w:t>. по</w:t>
            </w:r>
            <w:proofErr w:type="gramEnd"/>
            <w:r w:rsidRPr="002C4264">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546 331.00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760 303.18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1 974 968.41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2C4264">
              <w:rPr>
                <w:rFonts w:ascii="Times New Roman" w:eastAsia="Times New Roman" w:hAnsi="Times New Roman" w:cs="Times New Roman"/>
                <w:sz w:val="24"/>
                <w:szCs w:val="24"/>
                <w:lang w:eastAsia="ru-RU"/>
              </w:rPr>
              <w:t>заявителя</w:t>
            </w:r>
            <w:proofErr w:type="spellEnd"/>
            <w:r w:rsidRPr="002C4264">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218 029.48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2C4264">
              <w:rPr>
                <w:rFonts w:ascii="Times New Roman" w:eastAsia="Times New Roman" w:hAnsi="Times New Roman" w:cs="Times New Roman"/>
                <w:sz w:val="24"/>
                <w:szCs w:val="24"/>
                <w:lang w:eastAsia="ru-RU"/>
              </w:rPr>
              <w:t>),расположенного</w:t>
            </w:r>
            <w:proofErr w:type="gramEnd"/>
            <w:r w:rsidRPr="002C4264">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186 097.69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Денежный </w:t>
            </w:r>
            <w:proofErr w:type="spellStart"/>
            <w:r w:rsidRPr="002C4264">
              <w:rPr>
                <w:rFonts w:ascii="Times New Roman" w:eastAsia="Times New Roman" w:hAnsi="Times New Roman" w:cs="Times New Roman"/>
                <w:sz w:val="24"/>
                <w:szCs w:val="24"/>
                <w:lang w:eastAsia="ru-RU"/>
              </w:rPr>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12 000 000.00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710 164.76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2C4264">
              <w:rPr>
                <w:rFonts w:ascii="Times New Roman" w:eastAsia="Times New Roman" w:hAnsi="Times New Roman" w:cs="Times New Roman"/>
                <w:sz w:val="24"/>
                <w:szCs w:val="24"/>
                <w:lang w:eastAsia="ru-RU"/>
              </w:rPr>
              <w:t>энергопринимающих</w:t>
            </w:r>
            <w:proofErr w:type="spellEnd"/>
            <w:r w:rsidRPr="002C4264">
              <w:rPr>
                <w:rFonts w:ascii="Times New Roman" w:eastAsia="Times New Roman" w:hAnsi="Times New Roman" w:cs="Times New Roman"/>
                <w:sz w:val="24"/>
                <w:szCs w:val="24"/>
                <w:lang w:eastAsia="ru-RU"/>
              </w:rPr>
              <w:t xml:space="preserve"> устройств заявителя БКТП 2х1000 </w:t>
            </w:r>
            <w:proofErr w:type="spellStart"/>
            <w:r w:rsidRPr="002C4264">
              <w:rPr>
                <w:rFonts w:ascii="Times New Roman" w:eastAsia="Times New Roman" w:hAnsi="Times New Roman" w:cs="Times New Roman"/>
                <w:sz w:val="24"/>
                <w:szCs w:val="24"/>
                <w:lang w:eastAsia="ru-RU"/>
              </w:rPr>
              <w:t>кВА</w:t>
            </w:r>
            <w:proofErr w:type="spellEnd"/>
            <w:r w:rsidRPr="002C4264">
              <w:rPr>
                <w:rFonts w:ascii="Times New Roman" w:eastAsia="Times New Roman" w:hAnsi="Times New Roman" w:cs="Times New Roman"/>
                <w:sz w:val="24"/>
                <w:szCs w:val="24"/>
                <w:lang w:eastAsia="ru-RU"/>
              </w:rPr>
              <w:t xml:space="preserve"> для энергоснабжения МБУ «СКК Олимп» расположенных по ул. </w:t>
            </w:r>
            <w:proofErr w:type="spellStart"/>
            <w:r w:rsidRPr="002C4264">
              <w:rPr>
                <w:rFonts w:ascii="Times New Roman" w:eastAsia="Times New Roman" w:hAnsi="Times New Roman" w:cs="Times New Roman"/>
                <w:sz w:val="24"/>
                <w:szCs w:val="24"/>
                <w:lang w:eastAsia="ru-RU"/>
              </w:rPr>
              <w:t>Б.Мира</w:t>
            </w:r>
            <w:proofErr w:type="spellEnd"/>
            <w:r w:rsidRPr="002C4264">
              <w:rPr>
                <w:rFonts w:ascii="Times New Roman" w:eastAsia="Times New Roman" w:hAnsi="Times New Roman" w:cs="Times New Roman"/>
                <w:sz w:val="24"/>
                <w:szCs w:val="24"/>
                <w:lang w:eastAsia="ru-RU"/>
              </w:rPr>
              <w:t xml:space="preserve"> 27 к объектам электросетевого хозяйства АО ""НЭСК». Строительство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3 520 902.03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C4264">
              <w:rPr>
                <w:rFonts w:ascii="Times New Roman" w:eastAsia="Times New Roman" w:hAnsi="Times New Roman" w:cs="Times New Roman"/>
                <w:sz w:val="24"/>
                <w:szCs w:val="24"/>
                <w:lang w:eastAsia="ru-RU"/>
              </w:rPr>
              <w:t>энергопринимающих</w:t>
            </w:r>
            <w:proofErr w:type="spellEnd"/>
            <w:r w:rsidRPr="002C4264">
              <w:rPr>
                <w:rFonts w:ascii="Times New Roman" w:eastAsia="Times New Roman" w:hAnsi="Times New Roman" w:cs="Times New Roman"/>
                <w:sz w:val="24"/>
                <w:szCs w:val="24"/>
                <w:lang w:eastAsia="ru-RU"/>
              </w:rPr>
              <w:t xml:space="preserve"> устройств заявителя ЩУ нежилого </w:t>
            </w:r>
            <w:proofErr w:type="gramStart"/>
            <w:r w:rsidRPr="002C4264">
              <w:rPr>
                <w:rFonts w:ascii="Times New Roman" w:eastAsia="Times New Roman" w:hAnsi="Times New Roman" w:cs="Times New Roman"/>
                <w:sz w:val="24"/>
                <w:szCs w:val="24"/>
                <w:lang w:eastAsia="ru-RU"/>
              </w:rPr>
              <w:t>здания( гаража</w:t>
            </w:r>
            <w:proofErr w:type="gramEnd"/>
            <w:r w:rsidRPr="002C4264">
              <w:rPr>
                <w:rFonts w:ascii="Times New Roman" w:eastAsia="Times New Roman" w:hAnsi="Times New Roman" w:cs="Times New Roman"/>
                <w:sz w:val="24"/>
                <w:szCs w:val="24"/>
                <w:lang w:eastAsia="ru-RU"/>
              </w:rPr>
              <w:t xml:space="preserve">), расположенного в </w:t>
            </w:r>
            <w:proofErr w:type="spellStart"/>
            <w:r w:rsidRPr="002C4264">
              <w:rPr>
                <w:rFonts w:ascii="Times New Roman" w:eastAsia="Times New Roman" w:hAnsi="Times New Roman" w:cs="Times New Roman"/>
                <w:sz w:val="24"/>
                <w:szCs w:val="24"/>
                <w:lang w:eastAsia="ru-RU"/>
              </w:rPr>
              <w:t>ул.Степная</w:t>
            </w:r>
            <w:proofErr w:type="spellEnd"/>
            <w:r w:rsidRPr="002C4264">
              <w:rPr>
                <w:rFonts w:ascii="Times New Roman" w:eastAsia="Times New Roman" w:hAnsi="Times New Roman" w:cs="Times New Roman"/>
                <w:sz w:val="24"/>
                <w:szCs w:val="24"/>
                <w:lang w:eastAsia="ru-RU"/>
              </w:rPr>
              <w:t xml:space="preserve"> 16б к объектам электросетевого хозяйства АО "НЭСК" • Строительство КЛ-0,4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452 115.30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 5 </w:t>
            </w:r>
            <w:proofErr w:type="spellStart"/>
            <w:r w:rsidRPr="002C4264">
              <w:rPr>
                <w:rFonts w:ascii="Times New Roman" w:eastAsia="Times New Roman" w:hAnsi="Times New Roman" w:cs="Times New Roman"/>
                <w:sz w:val="24"/>
                <w:szCs w:val="24"/>
                <w:lang w:eastAsia="ru-RU"/>
              </w:rPr>
              <w:t>Циглера</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w:t>
            </w:r>
            <w:proofErr w:type="spellStart"/>
            <w:r w:rsidRPr="002C4264">
              <w:rPr>
                <w:rFonts w:ascii="Times New Roman" w:eastAsia="Times New Roman" w:hAnsi="Times New Roman" w:cs="Times New Roman"/>
                <w:sz w:val="24"/>
                <w:szCs w:val="24"/>
                <w:lang w:eastAsia="ru-RU"/>
              </w:rPr>
              <w:t>работ</w:t>
            </w:r>
            <w:proofErr w:type="spellEnd"/>
            <w:r w:rsidRPr="002C4264">
              <w:rPr>
                <w:rFonts w:ascii="Times New Roman" w:eastAsia="Times New Roman" w:hAnsi="Times New Roman" w:cs="Times New Roman"/>
                <w:sz w:val="24"/>
                <w:szCs w:val="24"/>
                <w:lang w:eastAsia="ru-RU"/>
              </w:rPr>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D045BA" w:rsidRPr="00D045BA" w:rsidTr="00D045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D045BA" w:rsidRPr="00D045BA" w:rsidTr="00D045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2C4264" w:rsidRPr="002C4264" w:rsidRDefault="002C4264" w:rsidP="002C4264">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2C4264" w:rsidRPr="002C4264" w:rsidTr="002C4264">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2C4264" w:rsidRPr="002C4264" w:rsidRDefault="002C4264" w:rsidP="002C4264">
            <w:pPr>
              <w:spacing w:before="100" w:beforeAutospacing="1" w:after="100" w:afterAutospacing="1"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2C4264" w:rsidRPr="002C4264" w:rsidTr="002C4264">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84 676 925.58 рублей. </w:t>
            </w: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C4264" w:rsidRPr="002C4264" w:rsidRDefault="002C4264" w:rsidP="002C4264">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2C4264" w:rsidRPr="002C4264" w:rsidTr="002C426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Заказчик</w:t>
            </w: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C4264">
              <w:rPr>
                <w:rFonts w:ascii="Times New Roman" w:eastAsia="Times New Roman" w:hAnsi="Times New Roman" w:cs="Times New Roman"/>
                <w:sz w:val="24"/>
                <w:szCs w:val="24"/>
                <w:lang w:eastAsia="ru-RU"/>
              </w:rPr>
              <w:t>товарам,работам</w:t>
            </w:r>
            <w:proofErr w:type="gramEnd"/>
            <w:r w:rsidRPr="002C4264">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планируемая</w:t>
            </w:r>
            <w:proofErr w:type="gramEnd"/>
            <w:r w:rsidRPr="002C4264">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срок</w:t>
            </w:r>
            <w:proofErr w:type="gramEnd"/>
            <w:r w:rsidRPr="002C4264">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да</w:t>
            </w:r>
            <w:proofErr w:type="gramEnd"/>
            <w:r w:rsidRPr="002C4264">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w:t>
            </w:r>
          </w:p>
        </w:tc>
      </w:tr>
    </w:tbl>
    <w:p w:rsidR="002C4264" w:rsidRPr="002C4264" w:rsidRDefault="002C4264" w:rsidP="002C4264">
      <w:pPr>
        <w:spacing w:after="0" w:line="240" w:lineRule="auto"/>
        <w:rPr>
          <w:rFonts w:ascii="Arial" w:eastAsia="Times New Roman" w:hAnsi="Arial" w:cs="Arial"/>
          <w:vanish/>
          <w:sz w:val="16"/>
          <w:szCs w:val="16"/>
          <w:lang w:eastAsia="ru-RU"/>
        </w:rPr>
      </w:pPr>
      <w:r w:rsidRPr="002C4264">
        <w:rPr>
          <w:rFonts w:ascii="Times New Roman" w:eastAsia="Times New Roman" w:hAnsi="Times New Roman" w:cs="Times New Roman"/>
          <w:sz w:val="24"/>
          <w:szCs w:val="24"/>
          <w:lang w:eastAsia="ru-RU"/>
        </w:rPr>
        <w:br/>
        <w:t xml:space="preserve">Дата утверждения: </w:t>
      </w:r>
      <w:r w:rsidR="004661B8">
        <w:rPr>
          <w:rFonts w:ascii="Times New Roman" w:eastAsia="Times New Roman" w:hAnsi="Times New Roman" w:cs="Times New Roman"/>
          <w:sz w:val="24"/>
          <w:szCs w:val="24"/>
          <w:lang w:eastAsia="ru-RU"/>
        </w:rPr>
        <w:t>20</w:t>
      </w:r>
      <w:bookmarkStart w:id="0" w:name="_GoBack"/>
      <w:bookmarkEnd w:id="0"/>
      <w:r w:rsidRPr="002C4264">
        <w:rPr>
          <w:rFonts w:ascii="Times New Roman" w:eastAsia="Times New Roman" w:hAnsi="Times New Roman" w:cs="Times New Roman"/>
          <w:sz w:val="24"/>
          <w:szCs w:val="24"/>
          <w:lang w:eastAsia="ru-RU"/>
        </w:rPr>
        <w:t xml:space="preserve">.02.2018 </w:t>
      </w:r>
      <w:r w:rsidRPr="002C4264">
        <w:rPr>
          <w:rFonts w:ascii="Times New Roman" w:eastAsia="Times New Roman" w:hAnsi="Times New Roman" w:cs="Times New Roman"/>
          <w:sz w:val="24"/>
          <w:szCs w:val="24"/>
          <w:lang w:eastAsia="ru-RU"/>
        </w:rPr>
        <w:br/>
      </w:r>
    </w:p>
    <w:p w:rsidR="002C4264" w:rsidRDefault="002C4264"/>
    <w:sectPr w:rsidR="002C4264" w:rsidSect="002C426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FEE"/>
    <w:multiLevelType w:val="multilevel"/>
    <w:tmpl w:val="2EA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D7D05"/>
    <w:multiLevelType w:val="multilevel"/>
    <w:tmpl w:val="074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D696B"/>
    <w:multiLevelType w:val="multilevel"/>
    <w:tmpl w:val="F6AE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55AE8"/>
    <w:multiLevelType w:val="multilevel"/>
    <w:tmpl w:val="96C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D3"/>
    <w:rsid w:val="00232442"/>
    <w:rsid w:val="002C4264"/>
    <w:rsid w:val="00304DA8"/>
    <w:rsid w:val="004661B8"/>
    <w:rsid w:val="004937D3"/>
    <w:rsid w:val="00513833"/>
    <w:rsid w:val="00B54DD7"/>
    <w:rsid w:val="00C33FCF"/>
    <w:rsid w:val="00D0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2737F-9966-476C-952A-3DDF2341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2C4264"/>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2C4264"/>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2C4264"/>
    <w:rPr>
      <w:color w:val="0000FF"/>
      <w:u w:val="single"/>
    </w:rPr>
  </w:style>
  <w:style w:type="character" w:styleId="a4">
    <w:name w:val="FollowedHyperlink"/>
    <w:basedOn w:val="a0"/>
    <w:uiPriority w:val="99"/>
    <w:semiHidden/>
    <w:unhideWhenUsed/>
    <w:rsid w:val="002C4264"/>
    <w:rPr>
      <w:color w:val="800080"/>
      <w:u w:val="single"/>
    </w:rPr>
  </w:style>
  <w:style w:type="paragraph" w:customStyle="1" w:styleId="1">
    <w:name w:val="Название1"/>
    <w:basedOn w:val="a"/>
    <w:rsid w:val="002C4264"/>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2C4264"/>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C4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2C4264"/>
  </w:style>
  <w:style w:type="paragraph" w:styleId="z-">
    <w:name w:val="HTML Top of Form"/>
    <w:basedOn w:val="a"/>
    <w:next w:val="a"/>
    <w:link w:val="z-0"/>
    <w:hidden/>
    <w:uiPriority w:val="99"/>
    <w:semiHidden/>
    <w:unhideWhenUsed/>
    <w:rsid w:val="002C42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42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42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426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570">
      <w:bodyDiv w:val="1"/>
      <w:marLeft w:val="0"/>
      <w:marRight w:val="0"/>
      <w:marTop w:val="0"/>
      <w:marBottom w:val="0"/>
      <w:divBdr>
        <w:top w:val="none" w:sz="0" w:space="0" w:color="auto"/>
        <w:left w:val="none" w:sz="0" w:space="0" w:color="auto"/>
        <w:bottom w:val="none" w:sz="0" w:space="0" w:color="auto"/>
        <w:right w:val="none" w:sz="0" w:space="0" w:color="auto"/>
      </w:divBdr>
      <w:divsChild>
        <w:div w:id="11616666">
          <w:marLeft w:val="0"/>
          <w:marRight w:val="0"/>
          <w:marTop w:val="0"/>
          <w:marBottom w:val="0"/>
          <w:divBdr>
            <w:top w:val="none" w:sz="0" w:space="0" w:color="auto"/>
            <w:left w:val="none" w:sz="0" w:space="0" w:color="auto"/>
            <w:bottom w:val="none" w:sz="0" w:space="0" w:color="auto"/>
            <w:right w:val="none" w:sz="0" w:space="0" w:color="auto"/>
          </w:divBdr>
          <w:divsChild>
            <w:div w:id="836656451">
              <w:marLeft w:val="0"/>
              <w:marRight w:val="0"/>
              <w:marTop w:val="0"/>
              <w:marBottom w:val="0"/>
              <w:divBdr>
                <w:top w:val="none" w:sz="0" w:space="0" w:color="auto"/>
                <w:left w:val="none" w:sz="0" w:space="0" w:color="auto"/>
                <w:bottom w:val="none" w:sz="0" w:space="0" w:color="auto"/>
                <w:right w:val="none" w:sz="0" w:space="0" w:color="auto"/>
              </w:divBdr>
              <w:divsChild>
                <w:div w:id="320887836">
                  <w:marLeft w:val="0"/>
                  <w:marRight w:val="0"/>
                  <w:marTop w:val="0"/>
                  <w:marBottom w:val="0"/>
                  <w:divBdr>
                    <w:top w:val="none" w:sz="0" w:space="0" w:color="auto"/>
                    <w:left w:val="none" w:sz="0" w:space="0" w:color="auto"/>
                    <w:bottom w:val="none" w:sz="0" w:space="0" w:color="auto"/>
                    <w:right w:val="none" w:sz="0" w:space="0" w:color="auto"/>
                  </w:divBdr>
                  <w:divsChild>
                    <w:div w:id="2026859457">
                      <w:marLeft w:val="0"/>
                      <w:marRight w:val="0"/>
                      <w:marTop w:val="0"/>
                      <w:marBottom w:val="0"/>
                      <w:divBdr>
                        <w:top w:val="none" w:sz="0" w:space="0" w:color="auto"/>
                        <w:left w:val="none" w:sz="0" w:space="0" w:color="auto"/>
                        <w:bottom w:val="none" w:sz="0" w:space="0" w:color="auto"/>
                        <w:right w:val="none" w:sz="0" w:space="0" w:color="auto"/>
                      </w:divBdr>
                    </w:div>
                    <w:div w:id="478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900">
          <w:marLeft w:val="0"/>
          <w:marRight w:val="0"/>
          <w:marTop w:val="0"/>
          <w:marBottom w:val="0"/>
          <w:divBdr>
            <w:top w:val="none" w:sz="0" w:space="0" w:color="auto"/>
            <w:left w:val="none" w:sz="0" w:space="0" w:color="auto"/>
            <w:bottom w:val="none" w:sz="0" w:space="0" w:color="auto"/>
            <w:right w:val="none" w:sz="0" w:space="0" w:color="auto"/>
          </w:divBdr>
          <w:divsChild>
            <w:div w:id="10329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372">
      <w:bodyDiv w:val="1"/>
      <w:marLeft w:val="0"/>
      <w:marRight w:val="0"/>
      <w:marTop w:val="0"/>
      <w:marBottom w:val="0"/>
      <w:divBdr>
        <w:top w:val="none" w:sz="0" w:space="0" w:color="auto"/>
        <w:left w:val="none" w:sz="0" w:space="0" w:color="auto"/>
        <w:bottom w:val="none" w:sz="0" w:space="0" w:color="auto"/>
        <w:right w:val="none" w:sz="0" w:space="0" w:color="auto"/>
      </w:divBdr>
      <w:divsChild>
        <w:div w:id="1037197655">
          <w:marLeft w:val="0"/>
          <w:marRight w:val="0"/>
          <w:marTop w:val="0"/>
          <w:marBottom w:val="0"/>
          <w:divBdr>
            <w:top w:val="none" w:sz="0" w:space="0" w:color="auto"/>
            <w:left w:val="none" w:sz="0" w:space="0" w:color="auto"/>
            <w:bottom w:val="none" w:sz="0" w:space="0" w:color="auto"/>
            <w:right w:val="none" w:sz="0" w:space="0" w:color="auto"/>
          </w:divBdr>
          <w:divsChild>
            <w:div w:id="529685966">
              <w:marLeft w:val="0"/>
              <w:marRight w:val="0"/>
              <w:marTop w:val="0"/>
              <w:marBottom w:val="0"/>
              <w:divBdr>
                <w:top w:val="none" w:sz="0" w:space="0" w:color="auto"/>
                <w:left w:val="none" w:sz="0" w:space="0" w:color="auto"/>
                <w:bottom w:val="none" w:sz="0" w:space="0" w:color="auto"/>
                <w:right w:val="none" w:sz="0" w:space="0" w:color="auto"/>
              </w:divBdr>
              <w:divsChild>
                <w:div w:id="531455043">
                  <w:marLeft w:val="0"/>
                  <w:marRight w:val="0"/>
                  <w:marTop w:val="0"/>
                  <w:marBottom w:val="0"/>
                  <w:divBdr>
                    <w:top w:val="none" w:sz="0" w:space="0" w:color="auto"/>
                    <w:left w:val="none" w:sz="0" w:space="0" w:color="auto"/>
                    <w:bottom w:val="none" w:sz="0" w:space="0" w:color="auto"/>
                    <w:right w:val="none" w:sz="0" w:space="0" w:color="auto"/>
                  </w:divBdr>
                  <w:divsChild>
                    <w:div w:id="1502768245">
                      <w:marLeft w:val="0"/>
                      <w:marRight w:val="0"/>
                      <w:marTop w:val="0"/>
                      <w:marBottom w:val="0"/>
                      <w:divBdr>
                        <w:top w:val="none" w:sz="0" w:space="0" w:color="auto"/>
                        <w:left w:val="none" w:sz="0" w:space="0" w:color="auto"/>
                        <w:bottom w:val="none" w:sz="0" w:space="0" w:color="auto"/>
                        <w:right w:val="none" w:sz="0" w:space="0" w:color="auto"/>
                      </w:divBdr>
                    </w:div>
                    <w:div w:id="19157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633">
          <w:marLeft w:val="0"/>
          <w:marRight w:val="0"/>
          <w:marTop w:val="0"/>
          <w:marBottom w:val="0"/>
          <w:divBdr>
            <w:top w:val="none" w:sz="0" w:space="0" w:color="auto"/>
            <w:left w:val="none" w:sz="0" w:space="0" w:color="auto"/>
            <w:bottom w:val="none" w:sz="0" w:space="0" w:color="auto"/>
            <w:right w:val="none" w:sz="0" w:space="0" w:color="auto"/>
          </w:divBdr>
          <w:divsChild>
            <w:div w:id="1840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311">
      <w:bodyDiv w:val="1"/>
      <w:marLeft w:val="0"/>
      <w:marRight w:val="0"/>
      <w:marTop w:val="0"/>
      <w:marBottom w:val="0"/>
      <w:divBdr>
        <w:top w:val="none" w:sz="0" w:space="0" w:color="auto"/>
        <w:left w:val="none" w:sz="0" w:space="0" w:color="auto"/>
        <w:bottom w:val="none" w:sz="0" w:space="0" w:color="auto"/>
        <w:right w:val="none" w:sz="0" w:space="0" w:color="auto"/>
      </w:divBdr>
      <w:divsChild>
        <w:div w:id="1898781392">
          <w:marLeft w:val="0"/>
          <w:marRight w:val="0"/>
          <w:marTop w:val="0"/>
          <w:marBottom w:val="0"/>
          <w:divBdr>
            <w:top w:val="none" w:sz="0" w:space="0" w:color="auto"/>
            <w:left w:val="none" w:sz="0" w:space="0" w:color="auto"/>
            <w:bottom w:val="none" w:sz="0" w:space="0" w:color="auto"/>
            <w:right w:val="none" w:sz="0" w:space="0" w:color="auto"/>
          </w:divBdr>
          <w:divsChild>
            <w:div w:id="688142520">
              <w:marLeft w:val="0"/>
              <w:marRight w:val="0"/>
              <w:marTop w:val="0"/>
              <w:marBottom w:val="0"/>
              <w:divBdr>
                <w:top w:val="none" w:sz="0" w:space="0" w:color="auto"/>
                <w:left w:val="none" w:sz="0" w:space="0" w:color="auto"/>
                <w:bottom w:val="none" w:sz="0" w:space="0" w:color="auto"/>
                <w:right w:val="none" w:sz="0" w:space="0" w:color="auto"/>
              </w:divBdr>
              <w:divsChild>
                <w:div w:id="1782070547">
                  <w:marLeft w:val="0"/>
                  <w:marRight w:val="0"/>
                  <w:marTop w:val="0"/>
                  <w:marBottom w:val="0"/>
                  <w:divBdr>
                    <w:top w:val="none" w:sz="0" w:space="0" w:color="auto"/>
                    <w:left w:val="none" w:sz="0" w:space="0" w:color="auto"/>
                    <w:bottom w:val="none" w:sz="0" w:space="0" w:color="auto"/>
                    <w:right w:val="none" w:sz="0" w:space="0" w:color="auto"/>
                  </w:divBdr>
                  <w:divsChild>
                    <w:div w:id="6397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6</cp:revision>
  <dcterms:created xsi:type="dcterms:W3CDTF">2018-02-12T11:54:00Z</dcterms:created>
  <dcterms:modified xsi:type="dcterms:W3CDTF">2018-02-20T07:07:00Z</dcterms:modified>
</cp:coreProperties>
</file>