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5DC" w:rsidRDefault="001575DC" w:rsidP="001575DC">
      <w:pPr>
        <w:pStyle w:val="1"/>
        <w:spacing w:before="0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>
        <w:rPr>
          <w:rFonts w:ascii="Times New Roman" w:hAnsi="Times New Roman" w:cs="Times New Roman"/>
          <w:i/>
          <w:color w:val="auto"/>
          <w:sz w:val="24"/>
          <w:szCs w:val="24"/>
        </w:rPr>
        <w:t>АО НЭСК</w:t>
      </w:r>
    </w:p>
    <w:p w:rsidR="007C5088" w:rsidRPr="001575DC" w:rsidRDefault="008E03CF" w:rsidP="001575DC">
      <w:pPr>
        <w:pStyle w:val="1"/>
        <w:spacing w:before="0"/>
        <w:jc w:val="center"/>
        <w:rPr>
          <w:rFonts w:ascii="Times New Roman" w:hAnsi="Times New Roman" w:cs="Times New Roman"/>
          <w:color w:val="262626" w:themeColor="text1" w:themeTint="D9"/>
          <w:sz w:val="20"/>
          <w:szCs w:val="20"/>
        </w:rPr>
      </w:pPr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ВРЕМЕННОЕ </w:t>
      </w:r>
      <w:r w:rsidR="007C508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ТЕХНОЛОГИЧЕСКОЕ ПРИСОЕДИНЕНИЕ</w:t>
      </w:r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7C508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 ЭЛЕКТРИЧЕСКИМ СЕТЯМ СЕТЕВОЙ ОРГАНИЗАЦИИ</w:t>
      </w:r>
    </w:p>
    <w:p w:rsidR="007C5088" w:rsidRPr="001575DC" w:rsidRDefault="007C5088" w:rsidP="001575DC">
      <w:pPr>
        <w:pStyle w:val="ConsPlusNonformat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</w:p>
    <w:p w:rsidR="007F10F0" w:rsidRPr="001575DC" w:rsidRDefault="008C2E25" w:rsidP="001575DC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КРУГ ЗАЯВИТЕЛЕЙ</w:t>
      </w:r>
      <w:r w:rsidR="000653F9"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: </w:t>
      </w:r>
      <w:r w:rsidR="00DD10CA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физическое </w:t>
      </w:r>
      <w:r w:rsidR="007F10F0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лицо, </w:t>
      </w:r>
      <w:r w:rsidR="00DD10CA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</w:t>
      </w:r>
      <w:r w:rsidR="007F10F0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ндивидуальный предприниматель или </w:t>
      </w:r>
      <w:r w:rsidR="00DD10CA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юридическое лицо</w:t>
      </w:r>
      <w:r w:rsidR="007F10F0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целях временного технологического присоединения </w:t>
      </w:r>
      <w:proofErr w:type="spellStart"/>
      <w:r w:rsidR="007F10F0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энергопринимающих</w:t>
      </w:r>
      <w:proofErr w:type="spellEnd"/>
      <w:r w:rsidR="007F10F0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="007F10F0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кВ</w:t>
      </w:r>
      <w:proofErr w:type="spellEnd"/>
      <w:r w:rsidR="007F10F0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 наступления срока технологического присоединения по постоянной схеме, либо когда </w:t>
      </w:r>
      <w:proofErr w:type="spellStart"/>
      <w:r w:rsidR="007F10F0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энергопринимающие</w:t>
      </w:r>
      <w:proofErr w:type="spellEnd"/>
      <w:r w:rsidR="007F10F0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устройства являются передвижными и имеют максимальную мощность до 150 кВт включительно на срок до 12 месяцев.</w:t>
      </w:r>
      <w:proofErr w:type="gramEnd"/>
    </w:p>
    <w:p w:rsidR="000B052E" w:rsidRPr="001575DC" w:rsidRDefault="008C2E25" w:rsidP="0015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r w:rsidR="001120E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="001120E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энергопринимающих</w:t>
      </w:r>
      <w:proofErr w:type="spellEnd"/>
      <w:r w:rsidR="001120E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устройств рассчитывается исходя из величины максимальной мощности присоединяемых </w:t>
      </w:r>
      <w:proofErr w:type="spellStart"/>
      <w:r w:rsidR="001120E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энергопринимающих</w:t>
      </w:r>
      <w:proofErr w:type="spellEnd"/>
      <w:r w:rsidR="001120E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устрой</w:t>
      </w:r>
      <w:proofErr w:type="gramStart"/>
      <w:r w:rsidR="001120E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ств с пр</w:t>
      </w:r>
      <w:proofErr w:type="gramEnd"/>
      <w:r w:rsidR="001120E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именением стандартизированных тарифных ставок, установленных уполномоченным органом исполнительной власти в области государственного регулирования тарифов</w:t>
      </w:r>
      <w:r w:rsidR="00DD10CA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0B052E" w:rsidRPr="001575DC" w:rsidRDefault="000B052E" w:rsidP="0015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случае технологического присоединения </w:t>
      </w:r>
      <w:proofErr w:type="spellStart"/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энергопринимающего</w:t>
      </w:r>
      <w:proofErr w:type="spellEnd"/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устройства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энергопринимающих</w:t>
      </w:r>
      <w:proofErr w:type="spellEnd"/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устройств) по третьей категории надежности (по одному источнику электроснабжения) при условии, что расстояние от границ участка заявителя до объектов электросетевого хозяйства на уровне напряжения до 20 </w:t>
      </w:r>
      <w:proofErr w:type="spellStart"/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кВ</w:t>
      </w:r>
      <w:proofErr w:type="spellEnd"/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включительно необходимого заявителю класса напряжения сетевой организации, в которую подана заявка</w:t>
      </w:r>
      <w:proofErr w:type="gramEnd"/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, составляет не более 300 метров в городах и поселках городского типа и не более 500 метров в сельской местности - размер платы 550,00 рублей.</w:t>
      </w:r>
    </w:p>
    <w:p w:rsidR="00B04094" w:rsidRPr="001575DC" w:rsidRDefault="008C2E25" w:rsidP="001575DC">
      <w:pPr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УСЛОВИЯ ОКАЗАНИЯ УСЛУГИ (ПРОЦЕССА):</w:t>
      </w:r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ED42E7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намерение заявителя </w:t>
      </w:r>
      <w:r w:rsidR="000B052E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временного технологического присоединения </w:t>
      </w:r>
      <w:proofErr w:type="spellStart"/>
      <w:r w:rsidR="000B052E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энергопринимающих</w:t>
      </w:r>
      <w:proofErr w:type="spellEnd"/>
      <w:r w:rsidR="000B052E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устройств по третьей категории надежности электроснабжения на уровне напряжения ниже 35 </w:t>
      </w:r>
      <w:proofErr w:type="spellStart"/>
      <w:r w:rsidR="000B052E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кВ</w:t>
      </w:r>
      <w:proofErr w:type="spellEnd"/>
      <w:r w:rsidR="000B052E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 наступления срока технологического присоединения по постоянной схеме, либо когда </w:t>
      </w:r>
      <w:proofErr w:type="spellStart"/>
      <w:r w:rsidR="000B052E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энергопринимающие</w:t>
      </w:r>
      <w:proofErr w:type="spellEnd"/>
      <w:r w:rsidR="000B052E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устройства являются передвижными и имеют максимальную мощность до 150 к</w:t>
      </w:r>
      <w:proofErr w:type="gramStart"/>
      <w:r w:rsidR="000B052E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Вт вкл</w:t>
      </w:r>
      <w:proofErr w:type="gramEnd"/>
      <w:r w:rsidR="000B052E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ючительно на срок до 12 месяцев.</w:t>
      </w:r>
    </w:p>
    <w:p w:rsidR="008C2E25" w:rsidRPr="001575DC" w:rsidRDefault="008C2E25" w:rsidP="001575D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РЕЗУЛЬТАТ ОКАЗАНИЯ УСЛУГИ (ПРОЦЕССА):</w:t>
      </w:r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19535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технологического присоединения </w:t>
      </w:r>
      <w:proofErr w:type="spellStart"/>
      <w:r w:rsidR="0019535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энергопринимающих</w:t>
      </w:r>
      <w:proofErr w:type="spellEnd"/>
      <w:r w:rsidR="0019535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устройств Заявителя</w:t>
      </w:r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FC33E3" w:rsidRPr="001575DC" w:rsidRDefault="000825BA" w:rsidP="001575D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ОБЩИЙ СРОК ОКАЗАНИЯ УСЛУГИ (ПРОЦЕССА):</w:t>
      </w:r>
      <w:r w:rsidR="00195358"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 xml:space="preserve"> </w:t>
      </w:r>
      <w:proofErr w:type="gramStart"/>
      <w:r w:rsidR="0019535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кВ</w:t>
      </w:r>
      <w:proofErr w:type="spellEnd"/>
      <w:r w:rsidR="0019535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энергопринимающие</w:t>
      </w:r>
      <w:proofErr w:type="spellEnd"/>
      <w:r w:rsidR="0019535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устройства, составляет не более 300 метров в городах и поселках городского типа и не более 500 метров в сельской местности</w:t>
      </w:r>
      <w:r w:rsidR="00FC33E3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:</w:t>
      </w:r>
      <w:proofErr w:type="gramEnd"/>
    </w:p>
    <w:p w:rsidR="00FC33E3" w:rsidRPr="001575DC" w:rsidRDefault="00FC33E3" w:rsidP="001575D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proofErr w:type="gramStart"/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если </w:t>
      </w:r>
      <w:r w:rsidR="0019535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19535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энергопринимающих</w:t>
      </w:r>
      <w:proofErr w:type="spellEnd"/>
      <w:r w:rsidR="0019535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устройств и (или) объектов электроэнергетики - </w:t>
      </w:r>
      <w:r w:rsidR="00A67783"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15 рабочих дней</w:t>
      </w:r>
      <w:r w:rsidR="00A67783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(если</w:t>
      </w:r>
      <w:proofErr w:type="gramEnd"/>
      <w:r w:rsidR="00A67783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в заявке не указан более продолжительный срок) </w:t>
      </w:r>
      <w:proofErr w:type="gramStart"/>
      <w:r w:rsidR="004F68F4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 даты заключения</w:t>
      </w:r>
      <w:proofErr w:type="gramEnd"/>
      <w:r w:rsidR="004F68F4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договора</w:t>
      </w:r>
      <w:r w:rsidR="00A67783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="00A67783"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при временном технологическом присоединении</w:t>
      </w:r>
      <w:r w:rsidR="0019535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;</w:t>
      </w:r>
    </w:p>
    <w:p w:rsidR="002B543B" w:rsidRPr="001575DC" w:rsidRDefault="002B543B" w:rsidP="001575D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15 рабочих дней</w:t>
      </w:r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(если в заявке не указан более продолжительный срок) - при </w:t>
      </w:r>
      <w:r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временном технологическом присоединении</w:t>
      </w:r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заявителей, </w:t>
      </w:r>
      <w:proofErr w:type="spellStart"/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энергопринимающие</w:t>
      </w:r>
      <w:proofErr w:type="spellEnd"/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устройства которых являются </w:t>
      </w:r>
      <w:r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передвижными и имеют максимальную мощность до 150 к</w:t>
      </w:r>
      <w:proofErr w:type="gramStart"/>
      <w:r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Вт</w:t>
      </w:r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lastRenderedPageBreak/>
        <w:t>вкл</w:t>
      </w:r>
      <w:proofErr w:type="gramEnd"/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ючительно, если расстояние от </w:t>
      </w:r>
      <w:proofErr w:type="spellStart"/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энергопринимающего</w:t>
      </w:r>
      <w:proofErr w:type="spellEnd"/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устройства заявителя до существующих электрических сетей необходимого класса напряжения составляет не более 300 метров;</w:t>
      </w:r>
    </w:p>
    <w:p w:rsidR="00195358" w:rsidRPr="001575DC" w:rsidRDefault="004D6919" w:rsidP="001575DC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outlineLvl w:val="0"/>
        <w:rPr>
          <w:rFonts w:ascii="Times New Roman" w:hAnsi="Times New Roman" w:cs="Times New Roman"/>
          <w:color w:val="262626" w:themeColor="text1" w:themeTint="D9"/>
          <w:sz w:val="24"/>
          <w:szCs w:val="24"/>
        </w:rPr>
      </w:pPr>
      <w:r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При несоблюдении всех вышеуказанных условий </w:t>
      </w:r>
      <w:r w:rsidR="00FC33E3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- </w:t>
      </w:r>
      <w:r w:rsidR="00195358"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1 год</w:t>
      </w:r>
      <w:r w:rsidR="004F68F4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</w:t>
      </w:r>
      <w:proofErr w:type="gramStart"/>
      <w:r w:rsidR="004F68F4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с даты заключения</w:t>
      </w:r>
      <w:proofErr w:type="gramEnd"/>
      <w:r w:rsidR="004F68F4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 xml:space="preserve"> договора</w:t>
      </w:r>
      <w:r w:rsidR="00195358" w:rsidRPr="001575DC">
        <w:rPr>
          <w:rFonts w:ascii="Times New Roman" w:hAnsi="Times New Roman" w:cs="Times New Roman"/>
          <w:color w:val="262626" w:themeColor="text1" w:themeTint="D9"/>
          <w:sz w:val="24"/>
          <w:szCs w:val="24"/>
        </w:rPr>
        <w:t>.</w:t>
      </w:r>
    </w:p>
    <w:p w:rsidR="000653F9" w:rsidRPr="008E03CF" w:rsidRDefault="008C2E25" w:rsidP="001575D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1575DC">
        <w:rPr>
          <w:rFonts w:ascii="Times New Roman" w:hAnsi="Times New Roman" w:cs="Times New Roman"/>
          <w:b/>
          <w:color w:val="262626" w:themeColor="text1" w:themeTint="D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36" w:type="pct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0A0" w:firstRow="1" w:lastRow="0" w:firstColumn="1" w:lastColumn="0" w:noHBand="0" w:noVBand="0"/>
      </w:tblPr>
      <w:tblGrid>
        <w:gridCol w:w="478"/>
        <w:gridCol w:w="2216"/>
        <w:gridCol w:w="2271"/>
        <w:gridCol w:w="2692"/>
        <w:gridCol w:w="2262"/>
        <w:gridCol w:w="1764"/>
        <w:gridCol w:w="2634"/>
      </w:tblGrid>
      <w:tr w:rsidR="001575DC" w:rsidRPr="00175337" w:rsidTr="001575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shd w:val="clear" w:color="auto" w:fill="92D050"/>
          </w:tcPr>
          <w:p w:rsidR="00CA183B" w:rsidRPr="00175337" w:rsidRDefault="00CA183B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</w:tcPr>
          <w:p w:rsidR="00CA183B" w:rsidRPr="00175337" w:rsidRDefault="00CA183B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793" w:type="pct"/>
            <w:shd w:val="clear" w:color="auto" w:fill="92D050"/>
          </w:tcPr>
          <w:p w:rsidR="00CA183B" w:rsidRPr="00175337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</w:tcPr>
          <w:p w:rsidR="00CA183B" w:rsidRPr="00175337" w:rsidRDefault="00CA183B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90" w:type="pct"/>
            <w:shd w:val="clear" w:color="auto" w:fill="92D050"/>
          </w:tcPr>
          <w:p w:rsidR="00CA183B" w:rsidRPr="00175337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92D050"/>
          </w:tcPr>
          <w:p w:rsidR="00CA183B" w:rsidRPr="00175337" w:rsidRDefault="00CA183B" w:rsidP="002F67C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920" w:type="pct"/>
            <w:shd w:val="clear" w:color="auto" w:fill="92D050"/>
          </w:tcPr>
          <w:p w:rsidR="00CA183B" w:rsidRPr="00175337" w:rsidRDefault="00CA183B" w:rsidP="002F67C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2B543B" w:rsidRPr="00175337" w:rsidTr="001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B543B" w:rsidRPr="00175337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543B" w:rsidRPr="00175337" w:rsidRDefault="002B543B" w:rsidP="00664ED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2B543B" w:rsidRPr="00175337" w:rsidRDefault="002B543B" w:rsidP="00ED42E7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543B" w:rsidRPr="00175337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1.1.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 Заявитель подает заявку на технологическое присоединение</w:t>
            </w:r>
          </w:p>
          <w:p w:rsidR="002B543B" w:rsidRPr="00175337" w:rsidRDefault="002B543B" w:rsidP="00BB403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2B543B" w:rsidRPr="00175337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с заявкой в офис обслуживания потребителей,</w:t>
            </w:r>
          </w:p>
          <w:p w:rsidR="002B543B" w:rsidRPr="00175337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письменное обращение с заявкой заказным письмом с уведомлением,</w:t>
            </w:r>
          </w:p>
          <w:p w:rsidR="001575DC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заявка по электронной форме на сайте </w:t>
            </w:r>
            <w:r w:rsidR="00B01E4D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hyperlink r:id="rId9" w:history="1">
              <w:r w:rsidR="001575DC" w:rsidRPr="00E6572D">
                <w:rPr>
                  <w:rStyle w:val="af5"/>
                  <w:rFonts w:ascii="Times New Roman" w:hAnsi="Times New Roman" w:cs="Times New Roman"/>
                  <w:i/>
                </w:rPr>
                <w:t>http://nevesk.ru/</w:t>
              </w:r>
            </w:hyperlink>
          </w:p>
          <w:p w:rsidR="002B543B" w:rsidRPr="00175337" w:rsidRDefault="002B543B" w:rsidP="00164660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Личный кабинет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B543B" w:rsidRPr="00175337" w:rsidRDefault="002B543B" w:rsidP="008D2E8D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B543B" w:rsidRPr="00175337" w:rsidRDefault="002B543B" w:rsidP="002B54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Пункты 7 (а), 8, 9, 10, 14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B543B" w:rsidRPr="00175337" w:rsidTr="001575D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B543B" w:rsidRPr="00175337" w:rsidRDefault="002B543B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2B543B" w:rsidRPr="00175337" w:rsidRDefault="002B543B" w:rsidP="008D2E8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</w:tcPr>
          <w:p w:rsidR="002B543B" w:rsidRPr="00175337" w:rsidRDefault="002B543B" w:rsidP="008D2E8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2B543B" w:rsidRPr="00175337" w:rsidRDefault="002B543B" w:rsidP="004034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1.2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. Сетевая организация направляет уведомление заявителю о недостающих сведениях и/или документах к заявке</w:t>
            </w:r>
          </w:p>
        </w:tc>
        <w:tc>
          <w:tcPr>
            <w:tcW w:w="790" w:type="pct"/>
          </w:tcPr>
          <w:p w:rsidR="002B543B" w:rsidRPr="00175337" w:rsidRDefault="002B543B" w:rsidP="00B564E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2B543B" w:rsidRPr="00175337" w:rsidRDefault="002B543B" w:rsidP="0040345C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6 рабочих дней после получения заявки</w:t>
            </w:r>
          </w:p>
        </w:tc>
        <w:tc>
          <w:tcPr>
            <w:tcW w:w="920" w:type="pct"/>
          </w:tcPr>
          <w:p w:rsidR="002B543B" w:rsidRPr="00175337" w:rsidRDefault="002B543B" w:rsidP="0040345C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175337" w:rsidTr="001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C56E2" w:rsidRPr="00175337" w:rsidRDefault="002C56E2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56E2" w:rsidRPr="00175337" w:rsidRDefault="002C56E2" w:rsidP="0040345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93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2C56E2" w:rsidRPr="00175337" w:rsidRDefault="002C56E2" w:rsidP="000553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56E2" w:rsidRPr="00175337" w:rsidRDefault="002C56E2" w:rsidP="00E700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2.1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. Направление (выдача при очном посещении офиса обслуживания) сетевой организацией проекта договора об осуществлении технологического присоединения  с  техническими условиями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2C56E2" w:rsidRPr="00175337" w:rsidRDefault="002C56E2" w:rsidP="00D50CC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175337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выдача заявителю в офисе обслуживания </w:t>
            </w:r>
            <w:r w:rsidRPr="00175337">
              <w:rPr>
                <w:rFonts w:ascii="Times New Roman" w:hAnsi="Times New Roman" w:cs="Times New Roman"/>
              </w:rPr>
              <w:lastRenderedPageBreak/>
              <w:t>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C56E2" w:rsidRPr="00175337" w:rsidRDefault="002B543B" w:rsidP="00C458B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</w:t>
            </w:r>
            <w:r w:rsidR="002C56E2"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 дней со дня  получения заявки; </w:t>
            </w:r>
          </w:p>
          <w:p w:rsidR="002C56E2" w:rsidRPr="00175337" w:rsidRDefault="002C56E2" w:rsidP="00D50CC7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 отсутствия сведений  (документов) 30 дней </w:t>
            </w:r>
            <w:proofErr w:type="gramStart"/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с даты  получения</w:t>
            </w:r>
            <w:proofErr w:type="gramEnd"/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 недостающих сведений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2C56E2" w:rsidRPr="00175337" w:rsidRDefault="002C56E2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2C56E2" w:rsidRPr="00175337" w:rsidTr="001575D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2C56E2" w:rsidRPr="00175337" w:rsidRDefault="002C56E2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2C56E2" w:rsidRPr="00175337" w:rsidRDefault="002C56E2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2C56E2" w:rsidRPr="00175337" w:rsidRDefault="002C56E2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2C56E2" w:rsidRPr="00175337" w:rsidRDefault="002C56E2" w:rsidP="00E7007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2.2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. П</w:t>
            </w:r>
            <w:r w:rsidRPr="00175337">
              <w:rPr>
                <w:rFonts w:ascii="Times New Roman" w:hAnsi="Times New Roman" w:cs="Times New Roman"/>
              </w:rPr>
              <w:t>одписание заявителем двух  экземпляров проекта договора и направление   (представляет в офис обслуживания потребителей) одного  экземпляра сетевой организации с приложением к нему документов, подтверждающих полномочия лица, подписавшего такой договор</w:t>
            </w:r>
          </w:p>
        </w:tc>
        <w:tc>
          <w:tcPr>
            <w:tcW w:w="790" w:type="pct"/>
          </w:tcPr>
          <w:p w:rsidR="002C56E2" w:rsidRPr="00175337" w:rsidRDefault="002C56E2" w:rsidP="00D50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2C56E2" w:rsidRPr="00175337" w:rsidRDefault="002C56E2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30 дней со  дня получения заявителем проекта договора.</w:t>
            </w:r>
          </w:p>
          <w:p w:rsidR="002C56E2" w:rsidRPr="00175337" w:rsidRDefault="002C56E2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В случае </w:t>
            </w:r>
            <w:proofErr w:type="spellStart"/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ненаправления</w:t>
            </w:r>
            <w:proofErr w:type="spellEnd"/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  подписанного проекта договора  либо мотивированного отказа от его подписания через 60 дней  –  заявка аннулируется.</w:t>
            </w:r>
          </w:p>
        </w:tc>
        <w:tc>
          <w:tcPr>
            <w:tcW w:w="920" w:type="pct"/>
          </w:tcPr>
          <w:p w:rsidR="002C56E2" w:rsidRPr="00175337" w:rsidRDefault="002C56E2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:rsidTr="001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919" w:rsidRPr="00175337" w:rsidRDefault="004D6919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4D6919" w:rsidRPr="00175337" w:rsidRDefault="004D6919" w:rsidP="000553C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70993" w:rsidRDefault="004D6919" w:rsidP="00970993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2.3 </w:t>
            </w: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Направление (выдача при очном посещении офиса обслуживания) сетевой организацией откорректированного проекта договора об осуществлении технологического присоединения  с  техническими условиями вследствие получения от заявителя мотивированного отказа от подписания проекта договора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970993" w:rsidRDefault="004D6919" w:rsidP="00970993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Письменная форма проекта договора, подписанного со стороны сетевой организации, направляется способом</w:t>
            </w:r>
            <w:r w:rsidRPr="00970993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70993" w:rsidRDefault="004D6919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5 рабочих дней </w:t>
            </w:r>
            <w:proofErr w:type="gramStart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>с даты получения от заявителя мотивированного требования о приведении проекта договора в соответствие с Правилами</w:t>
            </w:r>
            <w:proofErr w:type="gramEnd"/>
            <w:r w:rsidRPr="00970993">
              <w:rPr>
                <w:rFonts w:ascii="Times New Roman" w:eastAsia="Times New Roman" w:hAnsi="Times New Roman" w:cs="Times New Roman"/>
                <w:lang w:eastAsia="ru-RU"/>
              </w:rPr>
              <w:t xml:space="preserve"> ТП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970993" w:rsidRDefault="004D6919" w:rsidP="0097099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:rsidTr="001575DC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4D6919" w:rsidRPr="00175337" w:rsidRDefault="004D6919" w:rsidP="000553C8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4034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4D6919" w:rsidRPr="00175337" w:rsidRDefault="004D6919" w:rsidP="000553C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2C5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175337">
              <w:rPr>
                <w:rFonts w:ascii="Times New Roman" w:hAnsi="Times New Roman" w:cs="Times New Roman"/>
              </w:rPr>
              <w:t xml:space="preserve">Сетевая организация направляет в адрес субъекта розничного рынка, указанного в заявке, с которым </w:t>
            </w:r>
            <w:r w:rsidRPr="00175337">
              <w:rPr>
                <w:rFonts w:ascii="Times New Roman" w:hAnsi="Times New Roman" w:cs="Times New Roman"/>
              </w:rPr>
              <w:lastRenderedPageBreak/>
              <w:t>заявитель намеревается заключить договор энергоснабжения (купли-продажи (поставки) электрической энергии (мощности)) копию подписанного с заявителем договора и копии представленных документов заявителем.</w:t>
            </w:r>
          </w:p>
        </w:tc>
        <w:tc>
          <w:tcPr>
            <w:tcW w:w="790" w:type="pct"/>
          </w:tcPr>
          <w:p w:rsidR="004D6919" w:rsidRPr="00175337" w:rsidRDefault="004D6919" w:rsidP="002C56E2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:rsidR="004D6919" w:rsidRPr="00175337" w:rsidRDefault="004D6919" w:rsidP="00D50CC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E70070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</w:t>
            </w:r>
            <w:proofErr w:type="gramStart"/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с даты заключения</w:t>
            </w:r>
            <w:proofErr w:type="gramEnd"/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</w:t>
            </w:r>
          </w:p>
        </w:tc>
        <w:tc>
          <w:tcPr>
            <w:tcW w:w="920" w:type="pct"/>
          </w:tcPr>
          <w:p w:rsidR="004D6919" w:rsidRPr="00175337" w:rsidRDefault="004D6919" w:rsidP="000553C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Пункт 15 Правил технологического присоединения энергопринимающих устройств потребителей </w:t>
            </w:r>
            <w:r w:rsidRPr="00175337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4D6919" w:rsidRPr="00175337" w:rsidTr="001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919" w:rsidRPr="00175337" w:rsidRDefault="004D6919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2C5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93" w:type="pct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:rsidR="004D6919" w:rsidRPr="00175337" w:rsidRDefault="004D6919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2C5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3.1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175337">
              <w:rPr>
                <w:rFonts w:ascii="Times New Roman" w:hAnsi="Times New Roman" w:cs="Times New Roman"/>
              </w:rPr>
              <w:t>Выполнение сетевой организацией мероприятий, предусмотренных договором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175337" w:rsidRDefault="004D6919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 15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:rsidTr="001575D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4D6919" w:rsidRPr="00175337" w:rsidRDefault="004D6919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4D6919" w:rsidRPr="00175337" w:rsidRDefault="004D6919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2C56E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3.2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175337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90" w:type="pct"/>
          </w:tcPr>
          <w:p w:rsidR="004D6919" w:rsidRPr="00175337" w:rsidRDefault="004D6919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vMerge/>
          </w:tcPr>
          <w:p w:rsidR="004D6919" w:rsidRPr="00175337" w:rsidRDefault="004D6919" w:rsidP="008D2E8D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D6919" w:rsidRPr="00175337" w:rsidTr="001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919" w:rsidRPr="00175337" w:rsidRDefault="004D6919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4D6919" w:rsidRPr="00175337" w:rsidRDefault="004D6919" w:rsidP="00BE7298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142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3.3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175337">
              <w:rPr>
                <w:rFonts w:ascii="Times New Roman" w:hAnsi="Times New Roman" w:cs="Times New Roman"/>
              </w:rPr>
              <w:t> Направление уведомления заявителем сетевой организации о выполнении технических условий с необходимым пакетом документов</w:t>
            </w:r>
          </w:p>
          <w:p w:rsidR="004D6919" w:rsidRPr="00175337" w:rsidRDefault="004D6919" w:rsidP="00142EA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175337" w:rsidRDefault="004D6919" w:rsidP="00142EA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Письменное уведомление о выполнении технических условий с приложением документов:</w:t>
            </w:r>
          </w:p>
          <w:p w:rsidR="004D6919" w:rsidRPr="00175337" w:rsidRDefault="004D6919" w:rsidP="00142EA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а) копии сертификатов соответствия на электрооборудование (если оборудование подлежит обязательной сертификации) и (или) сопроводительной технической документации </w:t>
            </w:r>
            <w:r w:rsidRPr="00175337">
              <w:rPr>
                <w:rFonts w:ascii="Times New Roman" w:hAnsi="Times New Roman" w:cs="Times New Roman"/>
              </w:rPr>
              <w:lastRenderedPageBreak/>
              <w:t>(технические паспорта оборудования), содержащей сведения о сертификации;</w:t>
            </w:r>
          </w:p>
          <w:p w:rsidR="004D6919" w:rsidRPr="00175337" w:rsidRDefault="004D6919" w:rsidP="00142EA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в) документы, содержащие информацию о результатах проведения пусконаладочных работ, приемо-сдаточных и иных испытаний;</w:t>
            </w:r>
          </w:p>
          <w:p w:rsidR="004D6919" w:rsidRPr="00175337" w:rsidRDefault="004D6919" w:rsidP="00142EA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г) нормальные (временные нормальные) схемы электрических соединений объекта электроэнергетики</w:t>
            </w:r>
            <w:r w:rsidRPr="00175337">
              <w:rPr>
                <w:rStyle w:val="ae"/>
                <w:rFonts w:ascii="Times New Roman" w:hAnsi="Times New Roman" w:cs="Times New Roman"/>
              </w:rPr>
              <w:footnoteReference w:id="1"/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lastRenderedPageBreak/>
              <w:t>После выполнения технических условий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142EA5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Пункты 85, 86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:rsidTr="001575D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4D6919" w:rsidRPr="00175337" w:rsidRDefault="004D6919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93" w:type="pct"/>
          </w:tcPr>
          <w:p w:rsidR="004D6919" w:rsidRPr="00175337" w:rsidRDefault="004D6919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Получение сетевой организацией от заявителя 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2A49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4.1.</w:t>
            </w:r>
            <w:r w:rsidRPr="00175337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</w:t>
            </w:r>
            <w:r w:rsidRPr="00175337">
              <w:rPr>
                <w:rFonts w:ascii="Times New Roman" w:hAnsi="Times New Roman" w:cs="Times New Roman"/>
              </w:rPr>
              <w:lastRenderedPageBreak/>
              <w:t>технических условий проводятся непосредственно в процессе проведения осмотра</w:t>
            </w:r>
          </w:p>
        </w:tc>
        <w:tc>
          <w:tcPr>
            <w:tcW w:w="790" w:type="pct"/>
          </w:tcPr>
          <w:p w:rsidR="004D6919" w:rsidRPr="00175337" w:rsidRDefault="001575DC" w:rsidP="002A16A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0" w:history="1">
              <w:r w:rsidR="004D6919" w:rsidRPr="00175337">
                <w:rPr>
                  <w:rFonts w:ascii="Times New Roman" w:hAnsi="Times New Roman" w:cs="Times New Roman"/>
                </w:rPr>
                <w:t>Акт</w:t>
              </w:r>
            </w:hyperlink>
            <w:r w:rsidR="004D6919" w:rsidRPr="00175337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4D6919" w:rsidRPr="00175337" w:rsidRDefault="004D6919" w:rsidP="002A16A3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При невыполнении требований технических условий сетевая организация в письменной форме уведомляет об этом заявителя. При осмотре </w:t>
            </w:r>
            <w:r w:rsidRPr="00175337">
              <w:rPr>
                <w:rFonts w:ascii="Times New Roman" w:hAnsi="Times New Roman" w:cs="Times New Roman"/>
              </w:rPr>
              <w:lastRenderedPageBreak/>
              <w:t>электроустановок замечания указываются в акте осмотра (обследования) электроустановки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D73C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lastRenderedPageBreak/>
              <w:t>в течение 10 дней со дня получения от заявителя документов</w:t>
            </w:r>
          </w:p>
        </w:tc>
        <w:tc>
          <w:tcPr>
            <w:tcW w:w="920" w:type="pct"/>
          </w:tcPr>
          <w:p w:rsidR="004D6919" w:rsidRPr="00175337" w:rsidRDefault="004D6919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Пункты 83-89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:rsidTr="001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919" w:rsidRPr="00175337" w:rsidRDefault="004D6919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175337" w:rsidRDefault="004D6919" w:rsidP="00A61E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В случае невыполнении заявителем требований технических условий. Получение от заявителя сетевой организации 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A61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4.2.</w:t>
            </w:r>
            <w:r w:rsidRPr="00175337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175337" w:rsidRDefault="001575DC" w:rsidP="00A61E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1" w:history="1">
              <w:r w:rsidR="004D6919" w:rsidRPr="00175337">
                <w:rPr>
                  <w:rFonts w:ascii="Times New Roman" w:hAnsi="Times New Roman" w:cs="Times New Roman"/>
                </w:rPr>
                <w:t>Акт</w:t>
              </w:r>
            </w:hyperlink>
            <w:r w:rsidR="004D6919" w:rsidRPr="00175337">
              <w:rPr>
                <w:rFonts w:ascii="Times New Roman" w:hAnsi="Times New Roman" w:cs="Times New Roman"/>
              </w:rPr>
              <w:t xml:space="preserve"> осмотра (обследования) электроустановки в письменной форме.</w:t>
            </w:r>
          </w:p>
          <w:p w:rsidR="004D6919" w:rsidRPr="00175337" w:rsidRDefault="004D6919" w:rsidP="002A16A3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2A16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Не позднее 3 рабочих дней после получения от заявителя уведомления об устранении замечаний с приложением информации о принятых мерах по их устранению.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Пункты 89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:rsidTr="001575D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4D6919" w:rsidRPr="00175337" w:rsidRDefault="004D6919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142E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4D6919" w:rsidRPr="00175337" w:rsidRDefault="004D6919" w:rsidP="00A61E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AE08E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>
              <w:rPr>
                <w:rFonts w:ascii="Times New Roman" w:hAnsi="Times New Roman" w:cs="Times New Roman"/>
              </w:rPr>
              <w:t> </w:t>
            </w:r>
            <w:r w:rsidRPr="00175337">
              <w:rPr>
                <w:rFonts w:ascii="Times New Roman" w:hAnsi="Times New Roman" w:cs="Times New Roman"/>
              </w:rPr>
              <w:t>Прием в эксплуатацию прибора учета.</w:t>
            </w:r>
          </w:p>
          <w:p w:rsidR="004D6919" w:rsidRPr="00175337" w:rsidRDefault="004D6919" w:rsidP="00BA00C5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Подписание сторонами  и передача Акт допуска в эксплуатацию прибора учета.</w:t>
            </w:r>
          </w:p>
        </w:tc>
        <w:tc>
          <w:tcPr>
            <w:tcW w:w="790" w:type="pct"/>
          </w:tcPr>
          <w:p w:rsidR="004D6919" w:rsidRPr="00175337" w:rsidRDefault="001575DC" w:rsidP="00BA00C5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12" w:history="1">
              <w:r w:rsidR="004D6919" w:rsidRPr="00175337">
                <w:rPr>
                  <w:rFonts w:ascii="Times New Roman" w:hAnsi="Times New Roman" w:cs="Times New Roman"/>
                </w:rPr>
                <w:t>Акт</w:t>
              </w:r>
            </w:hyperlink>
            <w:r w:rsidR="004D6919" w:rsidRPr="00175337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4D691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</w:rPr>
              <w:t>осмотра</w:t>
            </w:r>
          </w:p>
        </w:tc>
        <w:tc>
          <w:tcPr>
            <w:tcW w:w="920" w:type="pct"/>
          </w:tcPr>
          <w:p w:rsidR="004D6919" w:rsidRPr="00175337" w:rsidRDefault="004D6919" w:rsidP="0002340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175337">
              <w:t xml:space="preserve">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Pr="00175337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4D6919" w:rsidRPr="00175337" w:rsidTr="001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919" w:rsidRPr="00175337" w:rsidRDefault="004D6919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175337" w:rsidRDefault="004D6919" w:rsidP="002A495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В случае выполнения заявителем  требований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A61E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4.3.</w:t>
            </w:r>
            <w:r w:rsidRPr="00175337">
              <w:rPr>
                <w:rFonts w:ascii="Times New Roman" w:hAnsi="Times New Roman" w:cs="Times New Roman"/>
              </w:rPr>
              <w:t xml:space="preserve"> Направление (выдача) заявителю Акта о выполнении технических условий в 2 экземплярах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175337" w:rsidRDefault="004D6919" w:rsidP="002A495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175337">
              <w:rPr>
                <w:rFonts w:ascii="Times New Roman" w:hAnsi="Times New Roman" w:cs="Times New Roman"/>
              </w:rPr>
              <w:t xml:space="preserve">, позволяющим подтвердить факт получения, или </w:t>
            </w:r>
            <w:r w:rsidRPr="00175337">
              <w:rPr>
                <w:rFonts w:ascii="Times New Roman" w:hAnsi="Times New Roman" w:cs="Times New Roman"/>
              </w:rPr>
              <w:lastRenderedPageBreak/>
              <w:t>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023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lastRenderedPageBreak/>
              <w:t xml:space="preserve">В день проведения </w:t>
            </w:r>
            <w:r>
              <w:rPr>
                <w:rFonts w:ascii="Times New Roman" w:hAnsi="Times New Roman" w:cs="Times New Roman"/>
              </w:rPr>
              <w:t>осмотра</w:t>
            </w:r>
            <w:r w:rsidRPr="0017533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4B7C03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:rsidTr="001575D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4D6919" w:rsidRPr="00175337" w:rsidRDefault="004D6919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4D6919" w:rsidRPr="00175337" w:rsidRDefault="004D6919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2A495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 xml:space="preserve">4.4. </w:t>
            </w:r>
            <w:r w:rsidRPr="00175337">
              <w:rPr>
                <w:rFonts w:ascii="Times New Roman" w:hAnsi="Times New Roman" w:cs="Times New Roman"/>
              </w:rPr>
              <w:t>Заявитель возвращает в сетевую организацию один экземпляр подписанного со своей стороны акта о выполнении технических условий</w:t>
            </w:r>
          </w:p>
          <w:p w:rsidR="004D6919" w:rsidRPr="00175337" w:rsidRDefault="004D6919" w:rsidP="00A61E7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</w:p>
        </w:tc>
        <w:tc>
          <w:tcPr>
            <w:tcW w:w="790" w:type="pct"/>
          </w:tcPr>
          <w:p w:rsidR="004D6919" w:rsidRPr="00175337" w:rsidRDefault="004D6919" w:rsidP="002F67C7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Подписанный Акт о выполнении технических условий в письменной форме направляется 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175337">
              <w:rPr>
                <w:rFonts w:ascii="Times New Roman" w:hAnsi="Times New Roman" w:cs="Times New Roman"/>
              </w:rPr>
              <w:t>, позволяющим подтвердить факт 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02340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В день проведения </w:t>
            </w:r>
            <w:r>
              <w:rPr>
                <w:rFonts w:ascii="Times New Roman" w:hAnsi="Times New Roman" w:cs="Times New Roman"/>
              </w:rPr>
              <w:t>осмотра</w:t>
            </w:r>
          </w:p>
        </w:tc>
        <w:tc>
          <w:tcPr>
            <w:tcW w:w="920" w:type="pct"/>
          </w:tcPr>
          <w:p w:rsidR="004D6919" w:rsidRPr="00175337" w:rsidRDefault="004D6919" w:rsidP="002A495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Пункты 88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:rsidTr="001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919" w:rsidRPr="00175337" w:rsidRDefault="004D6919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B40D8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175337" w:rsidRDefault="004D6919" w:rsidP="00B40D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5.1</w:t>
            </w:r>
            <w:r w:rsidRPr="00175337">
              <w:rPr>
                <w:rFonts w:ascii="Times New Roman" w:hAnsi="Times New Roman" w:cs="Times New Roman"/>
              </w:rPr>
              <w:t> 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175337" w:rsidRDefault="004D6919" w:rsidP="00B40D8E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B40D8E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Пункты 7, 18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:rsidTr="001575DC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4D6919" w:rsidRPr="00175337" w:rsidRDefault="004D6919" w:rsidP="002F67C7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2F67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</w:tcPr>
          <w:p w:rsidR="004D6919" w:rsidRPr="00175337" w:rsidRDefault="004D6919" w:rsidP="00BE7298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5.2.</w:t>
            </w:r>
            <w:r w:rsidRPr="00175337">
              <w:rPr>
                <w:rFonts w:ascii="Times New Roman" w:hAnsi="Times New Roman" w:cs="Times New Roman"/>
              </w:rPr>
              <w:t xml:space="preserve"> Оформление сетевой организации и направление (выдача) заявителю: </w:t>
            </w:r>
          </w:p>
          <w:p w:rsidR="004D6919" w:rsidRPr="00175337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Акта об осуществлении технологического присоединения;</w:t>
            </w:r>
          </w:p>
          <w:p w:rsidR="004D6919" w:rsidRPr="00175337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Акта разграничения </w:t>
            </w:r>
            <w:r w:rsidRPr="00175337">
              <w:rPr>
                <w:rFonts w:ascii="Times New Roman" w:hAnsi="Times New Roman" w:cs="Times New Roman"/>
              </w:rPr>
              <w:lastRenderedPageBreak/>
              <w:t>границ балансовой принадлежности сторон;</w:t>
            </w:r>
          </w:p>
          <w:p w:rsidR="004D6919" w:rsidRPr="00175337" w:rsidRDefault="004D6919" w:rsidP="00B40D8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Акт разграничения эксплуатационной ответственности сторон</w:t>
            </w:r>
          </w:p>
        </w:tc>
        <w:tc>
          <w:tcPr>
            <w:tcW w:w="790" w:type="pct"/>
          </w:tcPr>
          <w:p w:rsidR="004D6919" w:rsidRPr="00175337" w:rsidRDefault="004D6919" w:rsidP="00B40D8E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lastRenderedPageBreak/>
              <w:t xml:space="preserve">Подписанные со стороны сетевой организации Акты  в письменной форме направляются </w:t>
            </w:r>
            <w:r w:rsidRPr="00175337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175337">
              <w:rPr>
                <w:rFonts w:ascii="Times New Roman" w:hAnsi="Times New Roman" w:cs="Times New Roman"/>
              </w:rPr>
              <w:t xml:space="preserve">, позволяющим подтвердить факт </w:t>
            </w:r>
            <w:r w:rsidRPr="00175337">
              <w:rPr>
                <w:rFonts w:ascii="Times New Roman" w:hAnsi="Times New Roman" w:cs="Times New Roman"/>
              </w:rPr>
              <w:lastRenderedPageBreak/>
              <w:t>получения, или выдаются заявителю в офисе обслуживания потребителей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2C56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70993">
              <w:rPr>
                <w:rFonts w:ascii="Times New Roman" w:hAnsi="Times New Roman" w:cs="Times New Roman"/>
              </w:rPr>
              <w:lastRenderedPageBreak/>
              <w:t>В соответствии с условиями договора</w:t>
            </w:r>
          </w:p>
        </w:tc>
        <w:tc>
          <w:tcPr>
            <w:tcW w:w="920" w:type="pct"/>
          </w:tcPr>
          <w:p w:rsidR="004D6919" w:rsidRPr="00175337" w:rsidRDefault="004D6919" w:rsidP="00BA00C5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:rsidTr="001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919" w:rsidRPr="00175337" w:rsidRDefault="004D6919" w:rsidP="00BA00C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BA00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3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175337" w:rsidRDefault="004D6919" w:rsidP="00BA00C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BA00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5.3.</w:t>
            </w:r>
            <w:r w:rsidRPr="00175337">
              <w:rPr>
                <w:rFonts w:ascii="Times New Roman" w:hAnsi="Times New Roman" w:cs="Times New Roman"/>
              </w:rPr>
              <w:t xml:space="preserve"> Направление сетевой организацией подписанных с  заявителем актов  в </w:t>
            </w:r>
            <w:proofErr w:type="spellStart"/>
            <w:r w:rsidRPr="00175337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175337">
              <w:rPr>
                <w:rFonts w:ascii="Times New Roman" w:hAnsi="Times New Roman" w:cs="Times New Roman"/>
              </w:rPr>
              <w:t xml:space="preserve"> организацию 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175337" w:rsidRDefault="004D6919" w:rsidP="00BA00C5">
            <w:pPr>
              <w:autoSpaceDE w:val="0"/>
              <w:autoSpaceDN w:val="0"/>
              <w:adjustRightInd w:val="0"/>
              <w:jc w:val="center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337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4B7C03">
            <w:pPr>
              <w:autoSpaceDE w:val="0"/>
              <w:autoSpaceDN w:val="0"/>
              <w:adjustRightInd w:val="0"/>
              <w:jc w:val="center"/>
              <w:outlineLvl w:val="0"/>
            </w:pPr>
            <w:r w:rsidRPr="00175337">
              <w:rPr>
                <w:rFonts w:ascii="Times New Roman" w:hAnsi="Times New Roman" w:cs="Times New Roman"/>
              </w:rPr>
              <w:t>В течение 2 рабочих дней после предоставления подписанных  заявителем актов в сетевую организацию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BA00C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175337">
              <w:rPr>
                <w:rFonts w:ascii="Times New Roman" w:hAnsi="Times New Roman" w:cs="Times New Roman"/>
              </w:rPr>
              <w:t>Пункт 19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:rsidTr="001575D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 w:val="restart"/>
          </w:tcPr>
          <w:p w:rsidR="004D6919" w:rsidRPr="00175337" w:rsidRDefault="004D6919" w:rsidP="00BA00C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BA00C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>Отсоединение объектов заявителя от электрических сетей</w:t>
            </w:r>
          </w:p>
        </w:tc>
        <w:tc>
          <w:tcPr>
            <w:tcW w:w="793" w:type="pct"/>
            <w:vMerge w:val="restart"/>
          </w:tcPr>
          <w:p w:rsidR="004D6919" w:rsidRPr="00175337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По окончании срока, на который осуществлялось технологическое присоединение с применением временной схемы электроснабжения, или при наличии основания для его досрочного прекращения:</w:t>
            </w:r>
          </w:p>
          <w:p w:rsidR="004D6919" w:rsidRPr="00175337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а) по обращению заявителя, поданному не позднее 10 дней до планируемой даты отсоединения;</w:t>
            </w:r>
          </w:p>
          <w:p w:rsidR="004D6919" w:rsidRPr="00175337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337">
              <w:rPr>
                <w:rFonts w:ascii="Times New Roman" w:hAnsi="Times New Roman" w:cs="Times New Roman"/>
              </w:rPr>
              <w:t xml:space="preserve">б) при расторжении договора об осуществлении технологического присоединения с </w:t>
            </w:r>
            <w:r w:rsidRPr="00175337">
              <w:rPr>
                <w:rFonts w:ascii="Times New Roman" w:hAnsi="Times New Roman" w:cs="Times New Roman"/>
              </w:rPr>
              <w:lastRenderedPageBreak/>
              <w:t>применением постоянной схемы электроснабжения.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CA45CB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lastRenderedPageBreak/>
              <w:t>6.1.</w:t>
            </w:r>
            <w:r w:rsidRPr="00175337">
              <w:rPr>
                <w:rFonts w:ascii="Times New Roman" w:hAnsi="Times New Roman" w:cs="Times New Roman"/>
              </w:rPr>
              <w:t xml:space="preserve"> Сетевая организация, письменно уведомляет заявителя о дате и времени отсоединения энергопринимающих устройств заявителя от объектов электросетевого хозяйства сетевой организации</w:t>
            </w:r>
          </w:p>
        </w:tc>
        <w:tc>
          <w:tcPr>
            <w:tcW w:w="790" w:type="pct"/>
          </w:tcPr>
          <w:p w:rsidR="004D6919" w:rsidRPr="00175337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В письменной форме направляются способом, 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right w:val="none" w:sz="0" w:space="0" w:color="auto"/>
            </w:tcBorders>
          </w:tcPr>
          <w:p w:rsidR="004D6919" w:rsidRPr="00175337" w:rsidRDefault="004D6919" w:rsidP="004B7C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Не позднее, чем за 10 рабочих дней до дня отсоединения</w:t>
            </w:r>
          </w:p>
        </w:tc>
        <w:tc>
          <w:tcPr>
            <w:tcW w:w="920" w:type="pct"/>
          </w:tcPr>
          <w:p w:rsidR="004D6919" w:rsidRPr="00175337" w:rsidRDefault="004D6919" w:rsidP="00CA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 55, 56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:rsidTr="001575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D6919" w:rsidRPr="00175337" w:rsidRDefault="004D6919" w:rsidP="00BA00C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  <w:tcBorders>
              <w:top w:val="none" w:sz="0" w:space="0" w:color="auto"/>
              <w:bottom w:val="none" w:sz="0" w:space="0" w:color="auto"/>
            </w:tcBorders>
          </w:tcPr>
          <w:p w:rsidR="004D6919" w:rsidRPr="00175337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ED4B8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6.2.</w:t>
            </w:r>
            <w:r w:rsidRPr="00175337">
              <w:rPr>
                <w:rFonts w:ascii="Times New Roman" w:hAnsi="Times New Roman" w:cs="Times New Roman"/>
              </w:rPr>
              <w:t> Выполнение работ по отсоединению энергопринимающих устройств заявителя</w:t>
            </w:r>
          </w:p>
        </w:tc>
        <w:tc>
          <w:tcPr>
            <w:tcW w:w="790" w:type="pct"/>
            <w:tcBorders>
              <w:top w:val="none" w:sz="0" w:space="0" w:color="auto"/>
              <w:bottom w:val="none" w:sz="0" w:space="0" w:color="auto"/>
            </w:tcBorders>
          </w:tcPr>
          <w:p w:rsidR="004D6919" w:rsidRPr="00175337" w:rsidRDefault="004D6919" w:rsidP="000136F8">
            <w:pPr>
              <w:autoSpaceDE w:val="0"/>
              <w:autoSpaceDN w:val="0"/>
              <w:adjustRightInd w:val="0"/>
              <w:jc w:val="both"/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включительно на срок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4B7C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до 12 месяцев (энергопринимающие устройства являются передвижными и имеют максимальную мощность до 150 кВт);</w:t>
            </w:r>
          </w:p>
          <w:p w:rsidR="004D6919" w:rsidRPr="00175337" w:rsidRDefault="004D6919" w:rsidP="000136F8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20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CA45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 55, 56 Правил технологического присоединения энергопринимающих устройств потребителей электрической энергии</w:t>
            </w:r>
          </w:p>
        </w:tc>
      </w:tr>
      <w:tr w:rsidR="004D6919" w:rsidRPr="00175337" w:rsidTr="001575DC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" w:type="pct"/>
            <w:vMerge/>
          </w:tcPr>
          <w:p w:rsidR="004D6919" w:rsidRPr="00175337" w:rsidRDefault="004D6919" w:rsidP="00BA00C5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74" w:type="pct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BA00C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93" w:type="pct"/>
            <w:vMerge/>
          </w:tcPr>
          <w:p w:rsidR="004D6919" w:rsidRPr="00175337" w:rsidRDefault="004D6919" w:rsidP="00BA00C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40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ED4B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eastAsia="Times New Roman" w:hAnsi="Times New Roman" w:cs="Times New Roman"/>
                <w:b/>
                <w:bCs/>
                <w:color w:val="548DD4" w:themeColor="text2" w:themeTint="99"/>
                <w:lang w:eastAsia="ru-RU"/>
              </w:rPr>
              <w:t>6.3.</w:t>
            </w:r>
            <w:r w:rsidRPr="00175337">
              <w:rPr>
                <w:rFonts w:ascii="Times New Roman" w:hAnsi="Times New Roman" w:cs="Times New Roman"/>
              </w:rPr>
              <w:t> Выдача Сетевой</w:t>
            </w:r>
            <w:r w:rsidRPr="00175337">
              <w:t xml:space="preserve"> </w:t>
            </w:r>
            <w:r w:rsidRPr="00175337">
              <w:rPr>
                <w:rFonts w:ascii="Times New Roman" w:hAnsi="Times New Roman" w:cs="Times New Roman"/>
              </w:rPr>
              <w:t xml:space="preserve">организацией Акта об отсоединении энергопринимающих устройств заявителю и направление Акта в </w:t>
            </w:r>
            <w:proofErr w:type="spellStart"/>
            <w:r w:rsidRPr="00175337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Pr="00175337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790" w:type="pct"/>
          </w:tcPr>
          <w:p w:rsidR="004D6919" w:rsidRPr="00175337" w:rsidRDefault="004D6919" w:rsidP="00CA45CB">
            <w:pPr>
              <w:autoSpaceDE w:val="0"/>
              <w:autoSpaceDN w:val="0"/>
              <w:adjustRightInd w:val="0"/>
              <w:jc w:val="both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В письменной форме способом, позволяющим установить дату отправки и получения указанного акта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6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4D6919" w:rsidRPr="00175337" w:rsidRDefault="004D6919" w:rsidP="00CA45CB">
            <w:pPr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 xml:space="preserve">В течение 5 рабочих дней </w:t>
            </w:r>
          </w:p>
          <w:p w:rsidR="004D6919" w:rsidRPr="00175337" w:rsidRDefault="004D6919" w:rsidP="004B7C0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920" w:type="pct"/>
          </w:tcPr>
          <w:p w:rsidR="004D6919" w:rsidRPr="00175337" w:rsidRDefault="004D6919" w:rsidP="00CA45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175337">
              <w:rPr>
                <w:rFonts w:ascii="Times New Roman" w:hAnsi="Times New Roman" w:cs="Times New Roman"/>
              </w:rPr>
              <w:t>Пункт 56 Правил технологического присоединения энергопринимающих устройств потребителей электрической энергии</w:t>
            </w:r>
          </w:p>
        </w:tc>
      </w:tr>
    </w:tbl>
    <w:p w:rsidR="00CA183B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6"/>
          <w:szCs w:val="26"/>
        </w:rPr>
      </w:pPr>
    </w:p>
    <w:p w:rsidR="00C02B7A" w:rsidRPr="004D6919" w:rsidRDefault="00C02B7A" w:rsidP="001575DC">
      <w:pPr>
        <w:shd w:val="clear" w:color="auto" w:fill="92D05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75DC" w:rsidRDefault="001575DC" w:rsidP="001575DC">
      <w:pPr>
        <w:pStyle w:val="af4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  <w:shd w:val="clear" w:color="auto" w:fill="FFFFFF"/>
        </w:rPr>
      </w:pPr>
      <w:r>
        <w:rPr>
          <w:rFonts w:ascii="Tahoma" w:hAnsi="Tahoma" w:cs="Tahoma"/>
          <w:color w:val="333333"/>
          <w:sz w:val="18"/>
          <w:szCs w:val="18"/>
        </w:rPr>
        <w:t>Акционерное общество «Невинномысская электросетевая компания»</w:t>
      </w:r>
      <w:r w:rsidRPr="001575DC">
        <w:rPr>
          <w:rFonts w:ascii="Tahoma" w:hAnsi="Tahoma" w:cs="Tahoma"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г. Невинномысск, ул</w:t>
      </w:r>
      <w:proofErr w:type="gramStart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.Г</w:t>
      </w:r>
      <w:proofErr w:type="gramEnd"/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агарина,50-А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Телефон:</w:t>
      </w:r>
      <w:r>
        <w:rPr>
          <w:rStyle w:val="contentphone"/>
          <w:rFonts w:ascii="Tahoma" w:hAnsi="Tahoma" w:cs="Tahoma"/>
          <w:b/>
          <w:bCs/>
          <w:color w:val="CC0000"/>
          <w:sz w:val="23"/>
          <w:szCs w:val="23"/>
          <w:shd w:val="clear" w:color="auto" w:fill="FFFFFF"/>
        </w:rPr>
        <w:t>(86554) 3-01-40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Факс: (86554) 3-01-40</w:t>
      </w:r>
      <w:r>
        <w:rPr>
          <w:rFonts w:ascii="Tahoma" w:hAnsi="Tahoma" w:cs="Tahoma"/>
          <w:color w:val="333333"/>
          <w:sz w:val="18"/>
          <w:szCs w:val="18"/>
        </w:rPr>
        <w:br/>
      </w:r>
      <w:r>
        <w:rPr>
          <w:rFonts w:ascii="Tahoma" w:hAnsi="Tahoma" w:cs="Tahoma"/>
          <w:color w:val="333333"/>
          <w:sz w:val="18"/>
          <w:szCs w:val="18"/>
          <w:shd w:val="clear" w:color="auto" w:fill="FFFFFF"/>
        </w:rPr>
        <w:t>Почта:</w:t>
      </w:r>
      <w:r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/>
        </w:rPr>
        <w:t> </w:t>
      </w:r>
      <w:hyperlink r:id="rId13" w:history="1">
        <w:r>
          <w:rPr>
            <w:rStyle w:val="af5"/>
            <w:rFonts w:ascii="Tahoma" w:hAnsi="Tahoma" w:cs="Tahoma"/>
            <w:color w:val="0033CC"/>
            <w:sz w:val="18"/>
            <w:szCs w:val="18"/>
            <w:shd w:val="clear" w:color="auto" w:fill="FFFFFF"/>
          </w:rPr>
          <w:t>info@nevesk.ru</w:t>
        </w:r>
      </w:hyperlink>
    </w:p>
    <w:p w:rsidR="001575DC" w:rsidRDefault="001575DC" w:rsidP="001575DC">
      <w:pPr>
        <w:pStyle w:val="af4"/>
        <w:shd w:val="clear" w:color="auto" w:fill="FFFFFF"/>
        <w:spacing w:before="0" w:beforeAutospacing="0" w:after="0" w:afterAutospacing="0" w:line="270" w:lineRule="atLeast"/>
        <w:rPr>
          <w:rFonts w:ascii="Tahoma" w:hAnsi="Tahoma" w:cs="Tahoma"/>
          <w:color w:val="333333"/>
          <w:sz w:val="18"/>
          <w:szCs w:val="18"/>
        </w:rPr>
      </w:pPr>
      <w:r w:rsidRPr="001575DC">
        <w:rPr>
          <w:rFonts w:ascii="Tahoma" w:hAnsi="Tahoma" w:cs="Tahoma"/>
          <w:color w:val="333333"/>
          <w:sz w:val="18"/>
          <w:szCs w:val="18"/>
        </w:rPr>
        <w:t>http://nevesk.ru/</w:t>
      </w:r>
      <w:bookmarkStart w:id="0" w:name="_GoBack"/>
      <w:bookmarkEnd w:id="0"/>
    </w:p>
    <w:sectPr w:rsidR="001575DC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FEB" w:rsidRDefault="00B95FEB" w:rsidP="00DC7CA8">
      <w:pPr>
        <w:spacing w:after="0" w:line="240" w:lineRule="auto"/>
      </w:pPr>
      <w:r>
        <w:separator/>
      </w:r>
    </w:p>
  </w:endnote>
  <w:endnote w:type="continuationSeparator" w:id="0">
    <w:p w:rsidR="00B95FEB" w:rsidRDefault="00B95FE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FEB" w:rsidRDefault="00B95FEB" w:rsidP="00DC7CA8">
      <w:pPr>
        <w:spacing w:after="0" w:line="240" w:lineRule="auto"/>
      </w:pPr>
      <w:r>
        <w:separator/>
      </w:r>
    </w:p>
  </w:footnote>
  <w:footnote w:type="continuationSeparator" w:id="0">
    <w:p w:rsidR="00B95FEB" w:rsidRDefault="00B95FEB" w:rsidP="00DC7CA8">
      <w:pPr>
        <w:spacing w:after="0" w:line="240" w:lineRule="auto"/>
      </w:pPr>
      <w:r>
        <w:continuationSeparator/>
      </w:r>
    </w:p>
  </w:footnote>
  <w:footnote w:id="1">
    <w:p w:rsidR="004D6919" w:rsidRDefault="004D6919" w:rsidP="00142EA5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Style w:val="ae"/>
        </w:rPr>
        <w:footnoteRef/>
      </w:r>
      <w:r>
        <w:t xml:space="preserve"> </w:t>
      </w:r>
      <w:r w:rsidRPr="00142EA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Документы в пунктах в) и г) не требуются для представления заявителями, электрохозяйство которых включает в себя только вводное устройство напряжением до 1000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осветительные установки, переносное электрооборудование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устройства номинальным напряжением не выше 380 В.</w:t>
      </w:r>
    </w:p>
  </w:footnote>
  <w:footnote w:id="2">
    <w:p w:rsidR="004D6919" w:rsidRDefault="004D6919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>
        <w:rPr>
          <w:rFonts w:ascii="Times New Roman" w:hAnsi="Times New Roman" w:cs="Times New Roman"/>
          <w:sz w:val="24"/>
          <w:szCs w:val="24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36F8"/>
    <w:rsid w:val="00022F24"/>
    <w:rsid w:val="0002340B"/>
    <w:rsid w:val="00023EA5"/>
    <w:rsid w:val="0002598C"/>
    <w:rsid w:val="00026177"/>
    <w:rsid w:val="00053198"/>
    <w:rsid w:val="000653F9"/>
    <w:rsid w:val="000825BA"/>
    <w:rsid w:val="000B052E"/>
    <w:rsid w:val="000D0D64"/>
    <w:rsid w:val="000E710C"/>
    <w:rsid w:val="001120E8"/>
    <w:rsid w:val="00142EA5"/>
    <w:rsid w:val="001452AF"/>
    <w:rsid w:val="001533DF"/>
    <w:rsid w:val="001575DC"/>
    <w:rsid w:val="00164660"/>
    <w:rsid w:val="00166D9F"/>
    <w:rsid w:val="00175337"/>
    <w:rsid w:val="00182892"/>
    <w:rsid w:val="00187BF5"/>
    <w:rsid w:val="0019014D"/>
    <w:rsid w:val="00195358"/>
    <w:rsid w:val="001D45A0"/>
    <w:rsid w:val="00206CD3"/>
    <w:rsid w:val="0022778E"/>
    <w:rsid w:val="00231805"/>
    <w:rsid w:val="00232015"/>
    <w:rsid w:val="00233155"/>
    <w:rsid w:val="00242530"/>
    <w:rsid w:val="00251BEC"/>
    <w:rsid w:val="0029622E"/>
    <w:rsid w:val="002963F2"/>
    <w:rsid w:val="002978AF"/>
    <w:rsid w:val="002A16A3"/>
    <w:rsid w:val="002A3BA1"/>
    <w:rsid w:val="002A4954"/>
    <w:rsid w:val="002A5552"/>
    <w:rsid w:val="002B543B"/>
    <w:rsid w:val="002C24EC"/>
    <w:rsid w:val="002C56E2"/>
    <w:rsid w:val="002D7093"/>
    <w:rsid w:val="0032200A"/>
    <w:rsid w:val="0032230E"/>
    <w:rsid w:val="00326913"/>
    <w:rsid w:val="00347A15"/>
    <w:rsid w:val="003A6292"/>
    <w:rsid w:val="003B555E"/>
    <w:rsid w:val="003B6F93"/>
    <w:rsid w:val="003C556E"/>
    <w:rsid w:val="003C6E04"/>
    <w:rsid w:val="003D4D3D"/>
    <w:rsid w:val="003F39CA"/>
    <w:rsid w:val="003F5301"/>
    <w:rsid w:val="00401788"/>
    <w:rsid w:val="0040345C"/>
    <w:rsid w:val="00405B1D"/>
    <w:rsid w:val="00405E12"/>
    <w:rsid w:val="0041124A"/>
    <w:rsid w:val="00420452"/>
    <w:rsid w:val="00442712"/>
    <w:rsid w:val="00443775"/>
    <w:rsid w:val="004A4D60"/>
    <w:rsid w:val="004B7C03"/>
    <w:rsid w:val="004D2FC8"/>
    <w:rsid w:val="004D6919"/>
    <w:rsid w:val="004F68F4"/>
    <w:rsid w:val="0051045A"/>
    <w:rsid w:val="0051352D"/>
    <w:rsid w:val="00524428"/>
    <w:rsid w:val="00534E9A"/>
    <w:rsid w:val="00557796"/>
    <w:rsid w:val="00584BD8"/>
    <w:rsid w:val="005B627E"/>
    <w:rsid w:val="005C22A7"/>
    <w:rsid w:val="005E5AAE"/>
    <w:rsid w:val="005F2F3E"/>
    <w:rsid w:val="00614532"/>
    <w:rsid w:val="00620C3D"/>
    <w:rsid w:val="00640439"/>
    <w:rsid w:val="0065173C"/>
    <w:rsid w:val="00664ED5"/>
    <w:rsid w:val="00666E7C"/>
    <w:rsid w:val="00675DBB"/>
    <w:rsid w:val="00677F5A"/>
    <w:rsid w:val="00690D12"/>
    <w:rsid w:val="006A3ACA"/>
    <w:rsid w:val="006D2EDE"/>
    <w:rsid w:val="006F2514"/>
    <w:rsid w:val="006F446F"/>
    <w:rsid w:val="0070128B"/>
    <w:rsid w:val="00762B2B"/>
    <w:rsid w:val="00776C32"/>
    <w:rsid w:val="0078335E"/>
    <w:rsid w:val="007877ED"/>
    <w:rsid w:val="007919F1"/>
    <w:rsid w:val="007A2C8F"/>
    <w:rsid w:val="007C5088"/>
    <w:rsid w:val="007E41FA"/>
    <w:rsid w:val="007F10F0"/>
    <w:rsid w:val="00806C78"/>
    <w:rsid w:val="008117CC"/>
    <w:rsid w:val="00823FF3"/>
    <w:rsid w:val="00824E68"/>
    <w:rsid w:val="008254DA"/>
    <w:rsid w:val="0082713E"/>
    <w:rsid w:val="00863174"/>
    <w:rsid w:val="008C2E25"/>
    <w:rsid w:val="008C64E4"/>
    <w:rsid w:val="008D2E8D"/>
    <w:rsid w:val="008E03CF"/>
    <w:rsid w:val="008E16CB"/>
    <w:rsid w:val="009001F4"/>
    <w:rsid w:val="00904E58"/>
    <w:rsid w:val="00996EEC"/>
    <w:rsid w:val="009D7322"/>
    <w:rsid w:val="00A0059B"/>
    <w:rsid w:val="00A22C5F"/>
    <w:rsid w:val="00A44E14"/>
    <w:rsid w:val="00A474DD"/>
    <w:rsid w:val="00A61E75"/>
    <w:rsid w:val="00A67783"/>
    <w:rsid w:val="00A705D8"/>
    <w:rsid w:val="00AE08E3"/>
    <w:rsid w:val="00AF67C0"/>
    <w:rsid w:val="00B01E4D"/>
    <w:rsid w:val="00B04094"/>
    <w:rsid w:val="00B118E9"/>
    <w:rsid w:val="00B1471A"/>
    <w:rsid w:val="00B30E02"/>
    <w:rsid w:val="00B40D8E"/>
    <w:rsid w:val="00B564E5"/>
    <w:rsid w:val="00B8308D"/>
    <w:rsid w:val="00B84849"/>
    <w:rsid w:val="00B95FEB"/>
    <w:rsid w:val="00BA00C5"/>
    <w:rsid w:val="00BA531D"/>
    <w:rsid w:val="00BA7F88"/>
    <w:rsid w:val="00BB4032"/>
    <w:rsid w:val="00BB7AE2"/>
    <w:rsid w:val="00BD087E"/>
    <w:rsid w:val="00BE7298"/>
    <w:rsid w:val="00C02B7A"/>
    <w:rsid w:val="00C05A4F"/>
    <w:rsid w:val="00C20511"/>
    <w:rsid w:val="00C2064F"/>
    <w:rsid w:val="00C25F4B"/>
    <w:rsid w:val="00C379FF"/>
    <w:rsid w:val="00C458B0"/>
    <w:rsid w:val="00C514F8"/>
    <w:rsid w:val="00C74D96"/>
    <w:rsid w:val="00C75E65"/>
    <w:rsid w:val="00CA183B"/>
    <w:rsid w:val="00CA1E91"/>
    <w:rsid w:val="00CA45CB"/>
    <w:rsid w:val="00CC1A0A"/>
    <w:rsid w:val="00CC211B"/>
    <w:rsid w:val="00CF1785"/>
    <w:rsid w:val="00D1019A"/>
    <w:rsid w:val="00D34055"/>
    <w:rsid w:val="00D345E7"/>
    <w:rsid w:val="00D47D80"/>
    <w:rsid w:val="00D50CC7"/>
    <w:rsid w:val="00D679FC"/>
    <w:rsid w:val="00D73C9D"/>
    <w:rsid w:val="00DC03DD"/>
    <w:rsid w:val="00DC7CA8"/>
    <w:rsid w:val="00DD10CA"/>
    <w:rsid w:val="00E01206"/>
    <w:rsid w:val="00E20DAF"/>
    <w:rsid w:val="00E36F56"/>
    <w:rsid w:val="00E43684"/>
    <w:rsid w:val="00E5056E"/>
    <w:rsid w:val="00E53D9B"/>
    <w:rsid w:val="00E557B2"/>
    <w:rsid w:val="00E70070"/>
    <w:rsid w:val="00E70F7F"/>
    <w:rsid w:val="00EA53BE"/>
    <w:rsid w:val="00EC6F80"/>
    <w:rsid w:val="00ED42E7"/>
    <w:rsid w:val="00ED4B82"/>
    <w:rsid w:val="00EE2C63"/>
    <w:rsid w:val="00F2320B"/>
    <w:rsid w:val="00F4184B"/>
    <w:rsid w:val="00F87578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table" w:styleId="-3">
    <w:name w:val="Light Shading Accent 3"/>
    <w:basedOn w:val="a1"/>
    <w:uiPriority w:val="60"/>
    <w:rsid w:val="001575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1575D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List 1 Accent 3"/>
    <w:basedOn w:val="a1"/>
    <w:uiPriority w:val="65"/>
    <w:rsid w:val="00157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f5">
    <w:name w:val="Hyperlink"/>
    <w:basedOn w:val="a0"/>
    <w:uiPriority w:val="99"/>
    <w:unhideWhenUsed/>
    <w:rsid w:val="001575DC"/>
    <w:rPr>
      <w:color w:val="0000FF" w:themeColor="hyperlink"/>
      <w:u w:val="single"/>
    </w:rPr>
  </w:style>
  <w:style w:type="character" w:customStyle="1" w:styleId="contentphone">
    <w:name w:val="contentphone"/>
    <w:basedOn w:val="a0"/>
    <w:rsid w:val="00157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  <w:style w:type="paragraph" w:styleId="af4">
    <w:name w:val="Normal (Web)"/>
    <w:basedOn w:val="a"/>
    <w:uiPriority w:val="99"/>
    <w:semiHidden/>
    <w:unhideWhenUsed/>
    <w:rsid w:val="000B05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052E"/>
  </w:style>
  <w:style w:type="table" w:styleId="-3">
    <w:name w:val="Light Shading Accent 3"/>
    <w:basedOn w:val="a1"/>
    <w:uiPriority w:val="60"/>
    <w:rsid w:val="001575D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30">
    <w:name w:val="Light List Accent 3"/>
    <w:basedOn w:val="a1"/>
    <w:uiPriority w:val="61"/>
    <w:rsid w:val="001575D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1-3">
    <w:name w:val="Medium List 1 Accent 3"/>
    <w:basedOn w:val="a1"/>
    <w:uiPriority w:val="65"/>
    <w:rsid w:val="001575D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af5">
    <w:name w:val="Hyperlink"/>
    <w:basedOn w:val="a0"/>
    <w:uiPriority w:val="99"/>
    <w:unhideWhenUsed/>
    <w:rsid w:val="001575DC"/>
    <w:rPr>
      <w:color w:val="0000FF" w:themeColor="hyperlink"/>
      <w:u w:val="single"/>
    </w:rPr>
  </w:style>
  <w:style w:type="character" w:customStyle="1" w:styleId="contentphone">
    <w:name w:val="contentphone"/>
    <w:basedOn w:val="a0"/>
    <w:rsid w:val="00157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nevesk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E111A5B5095EE125EE200E513B9061071F5540C5EC9F281248AB5EA8A5A20B361012ADB18yCw4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E111A5B5095EE125EE200E513B9061071F5540C5EC9F281248AB5EA8A5A20B361012ADB18yCw4N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0E111A5B5095EE125EE200E513B9061071F5540C5EC9F281248AB5EA8A5A20B361012ADB18yCw4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eve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E3597-1AF3-4D15-B78E-F1DC3E9779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2216</Words>
  <Characters>12632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Viktory</cp:lastModifiedBy>
  <cp:revision>2</cp:revision>
  <cp:lastPrinted>2014-08-01T10:40:00Z</cp:lastPrinted>
  <dcterms:created xsi:type="dcterms:W3CDTF">2017-03-15T04:54:00Z</dcterms:created>
  <dcterms:modified xsi:type="dcterms:W3CDTF">2017-03-15T04:54:00Z</dcterms:modified>
</cp:coreProperties>
</file>