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9" w:rsidRPr="00AC6A49" w:rsidRDefault="00D26658" w:rsidP="00AC6A49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6A49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proofErr w:type="gramStart"/>
      <w:r w:rsidRPr="00AC6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A49" w:rsidRPr="00AC6A49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  <w:r w:rsidR="00AC6A49" w:rsidRPr="00AC6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A49" w:rsidRPr="00AC6A49">
        <w:rPr>
          <w:rFonts w:ascii="Times New Roman" w:hAnsi="Times New Roman" w:cs="Times New Roman"/>
          <w:i/>
          <w:color w:val="auto"/>
          <w:sz w:val="24"/>
          <w:szCs w:val="24"/>
        </w:rPr>
        <w:t>АО НЭСК</w:t>
      </w:r>
    </w:p>
    <w:p w:rsidR="007C5088" w:rsidRPr="00AC6A49" w:rsidRDefault="007C5088" w:rsidP="00AC6A4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6A49">
        <w:rPr>
          <w:rFonts w:ascii="Times New Roman" w:hAnsi="Times New Roman" w:cs="Times New Roman"/>
          <w:color w:val="auto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AC6A49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A49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AC6A49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58149F" w:rsidRPr="00AC6A49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D26658" w:rsidRPr="00AC6A49">
        <w:rPr>
          <w:rFonts w:ascii="Times New Roman" w:hAnsi="Times New Roman" w:cs="Times New Roman"/>
          <w:b/>
          <w:sz w:val="24"/>
          <w:szCs w:val="24"/>
        </w:rPr>
        <w:br/>
      </w:r>
      <w:r w:rsidRPr="00AC6A49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AC6A49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AC6A49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AC6A49">
        <w:rPr>
          <w:rFonts w:ascii="Times New Roman" w:hAnsi="Times New Roman" w:cs="Times New Roman"/>
          <w:b/>
          <w:sz w:val="24"/>
          <w:szCs w:val="24"/>
        </w:rPr>
        <w:t>0</w:t>
      </w:r>
      <w:r w:rsidRPr="00AC6A49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AC6A49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:rsidR="00D26658" w:rsidRPr="00AC6A49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EC" w:rsidRPr="00AC6A49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4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C6A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AC6A4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AC6A49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AC6A49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AC6A49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proofErr w:type="spellStart"/>
      <w:r w:rsidR="00996EEC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AC6A4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AC6A49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AC6A49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AC6A49">
        <w:rPr>
          <w:rFonts w:ascii="Times New Roman" w:hAnsi="Times New Roman" w:cs="Times New Roman"/>
          <w:sz w:val="24"/>
          <w:szCs w:val="24"/>
        </w:rPr>
        <w:t xml:space="preserve">(с учетом ранее присоединенных в данной точке присоединения </w:t>
      </w:r>
      <w:proofErr w:type="spellStart"/>
      <w:r w:rsidR="00D26658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6658" w:rsidRPr="00AC6A49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02CE5" w:rsidRPr="00AC6A49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4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C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AC6A49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D26658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6658" w:rsidRPr="00AC6A49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свыше 150 кВт и менее 670 к</w:t>
      </w:r>
      <w:proofErr w:type="gramStart"/>
      <w:r w:rsidR="00D26658" w:rsidRPr="00AC6A49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D26658" w:rsidRPr="00AC6A49">
        <w:rPr>
          <w:rFonts w:ascii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="00D26658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6658" w:rsidRPr="00AC6A49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</w:t>
      </w:r>
      <w:r w:rsidR="00E02CE5" w:rsidRPr="00AC6A49">
        <w:rPr>
          <w:rFonts w:ascii="Times New Roman" w:hAnsi="Times New Roman" w:cs="Times New Roman"/>
          <w:sz w:val="24"/>
          <w:szCs w:val="24"/>
        </w:rPr>
        <w:t>ственного регулирования тарифов.</w:t>
      </w:r>
    </w:p>
    <w:p w:rsidR="0058149F" w:rsidRPr="00AC6A49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4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C6A49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AC6A49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AC6A49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AC6A49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AC6A49">
        <w:rPr>
          <w:rFonts w:ascii="Times New Roman" w:hAnsi="Times New Roman" w:cs="Times New Roman"/>
          <w:sz w:val="24"/>
          <w:szCs w:val="24"/>
        </w:rPr>
        <w:t>е</w:t>
      </w:r>
      <w:r w:rsidR="00ED42E7" w:rsidRPr="00AC6A49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AC6A49">
        <w:rPr>
          <w:rFonts w:ascii="Times New Roman" w:hAnsi="Times New Roman" w:cs="Times New Roman"/>
          <w:sz w:val="24"/>
          <w:szCs w:val="24"/>
        </w:rPr>
        <w:t>е</w:t>
      </w:r>
      <w:r w:rsidR="00ED42E7" w:rsidRPr="00AC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AC6A49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AC6A4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AC6A49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AC6A49">
        <w:rPr>
          <w:rFonts w:ascii="Times New Roman" w:hAnsi="Times New Roman" w:cs="Times New Roman"/>
          <w:sz w:val="24"/>
          <w:szCs w:val="24"/>
        </w:rPr>
        <w:t>а</w:t>
      </w:r>
      <w:r w:rsidR="00ED42E7" w:rsidRPr="00AC6A49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AC6A49">
        <w:rPr>
          <w:rFonts w:ascii="Times New Roman" w:hAnsi="Times New Roman" w:cs="Times New Roman"/>
          <w:sz w:val="24"/>
          <w:szCs w:val="24"/>
        </w:rPr>
        <w:t>ы</w:t>
      </w:r>
      <w:r w:rsidR="00ED42E7" w:rsidRPr="00AC6A49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AC6A49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58149F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AC6A49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58149F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AC6A49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8C2E25" w:rsidRPr="00AC6A49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49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C6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AC6A49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AC6A4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AC6A49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="00195358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AC6A49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AC6A49">
        <w:rPr>
          <w:rFonts w:ascii="Times New Roman" w:hAnsi="Times New Roman" w:cs="Times New Roman"/>
          <w:sz w:val="24"/>
          <w:szCs w:val="24"/>
        </w:rPr>
        <w:t>.</w:t>
      </w:r>
    </w:p>
    <w:p w:rsidR="00FC33E3" w:rsidRPr="00AC6A49" w:rsidRDefault="000825BA" w:rsidP="00D26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A49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AC6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AC6A49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AC6A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AC6A49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AC6A49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AC6A49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AC6A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AC6A49" w:rsidRDefault="00FC33E3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6A49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AC6A49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AC6A4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AC6A49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195358" w:rsidRPr="00AC6A49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AC6A49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AC6A49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AC6A49">
        <w:rPr>
          <w:rFonts w:ascii="Times New Roman" w:hAnsi="Times New Roman" w:cs="Times New Roman"/>
          <w:sz w:val="24"/>
          <w:szCs w:val="24"/>
        </w:rPr>
        <w:t>;</w:t>
      </w:r>
    </w:p>
    <w:p w:rsidR="00195358" w:rsidRPr="00AC6A49" w:rsidRDefault="00195358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A49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AC6A49">
        <w:rPr>
          <w:rFonts w:ascii="Times New Roman" w:hAnsi="Times New Roman" w:cs="Times New Roman"/>
          <w:b/>
          <w:sz w:val="24"/>
          <w:szCs w:val="24"/>
        </w:rPr>
        <w:t>1</w:t>
      </w:r>
      <w:r w:rsidRPr="00AC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AC6A49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AC6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C6A4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C6A4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26658" w:rsidRPr="00AC6A49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Pr="00AC6A49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6A4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AC6A49" w:rsidRPr="00D26658" w:rsidTr="00AC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00B050"/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shd w:val="clear" w:color="auto" w:fill="00B050"/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00B050"/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shd w:val="clear" w:color="auto" w:fill="00B050"/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00B050"/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00B050"/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00B050"/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заявки на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заявку на технологическое присоединение;</w:t>
            </w:r>
          </w:p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 с заявкой в офис обслуживания потребителей,</w:t>
            </w:r>
          </w:p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6398" w:rsidRPr="00D26658" w:rsidRDefault="00FA639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 8, 9, 10,12, 14 </w:t>
            </w:r>
            <w:r w:rsidRPr="00D26658">
              <w:rPr>
                <w:rFonts w:ascii="Times New Roman" w:hAnsi="Times New Roman" w:cs="Times New Roman"/>
              </w:rPr>
              <w:lastRenderedPageBreak/>
              <w:t xml:space="preserve">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26658">
              <w:rPr>
                <w:rFonts w:ascii="Times New Roman" w:hAnsi="Times New Roman" w:cs="Times New Roman"/>
              </w:rPr>
              <w:t>.</w:t>
            </w:r>
          </w:p>
        </w:tc>
      </w:tr>
      <w:tr w:rsidR="00D26658" w:rsidRPr="00D26658" w:rsidTr="00AC6A4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0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26658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</w:t>
            </w:r>
            <w:r w:rsidRPr="00D26658">
              <w:rPr>
                <w:rFonts w:ascii="Times New Roman" w:hAnsi="Times New Roman" w:cs="Times New Roman"/>
              </w:rPr>
              <w:lastRenderedPageBreak/>
              <w:t>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970993" w:rsidRDefault="00D2665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099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0993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</w:t>
            </w:r>
            <w:r w:rsidRPr="00D26658">
              <w:rPr>
                <w:rFonts w:ascii="Times New Roman" w:hAnsi="Times New Roman" w:cs="Times New Roman"/>
              </w:rPr>
              <w:lastRenderedPageBreak/>
              <w:t>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58" w:rsidRPr="00D26658" w:rsidTr="00AC6A4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</w:t>
            </w:r>
            <w:r w:rsidRPr="00D26658">
              <w:rPr>
                <w:rFonts w:ascii="Times New Roman" w:hAnsi="Times New Roman" w:cs="Times New Roman"/>
              </w:rPr>
              <w:lastRenderedPageBreak/>
              <w:t>документации (технические паспорта оборудования), содержащей сведения о сертификации;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26658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</w:t>
            </w:r>
            <w:r w:rsidRPr="00D26658">
              <w:rPr>
                <w:rFonts w:ascii="Times New Roman" w:hAnsi="Times New Roman" w:cs="Times New Roman"/>
              </w:rPr>
              <w:lastRenderedPageBreak/>
              <w:t>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E0612A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</w:t>
            </w:r>
            <w:r w:rsidRPr="00D26658">
              <w:rPr>
                <w:rFonts w:ascii="Times New Roman" w:hAnsi="Times New Roman" w:cs="Times New Roman"/>
              </w:rPr>
              <w:lastRenderedPageBreak/>
              <w:t>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 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D26658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18(1), 18(2)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</w:t>
            </w:r>
            <w:r w:rsidRPr="00D26658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4.3.</w:t>
            </w:r>
            <w:r w:rsidRPr="00D26658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E0612A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D26658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266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D26658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D26658" w:rsidRPr="00D26658" w:rsidRDefault="00E0612A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26658"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2665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D26658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D26658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D26658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266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</w:t>
            </w:r>
            <w:r w:rsidRPr="00D26658">
              <w:rPr>
                <w:rFonts w:ascii="Times New Roman" w:hAnsi="Times New Roman" w:cs="Times New Roman"/>
              </w:rPr>
              <w:t>актическо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26658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D26658" w:rsidRPr="00D26658" w:rsidTr="00AC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26658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r w:rsidRPr="00D26658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6658" w:rsidRPr="00D26658" w:rsidRDefault="00D2665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D26658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6A49" w:rsidRDefault="00C02B7A" w:rsidP="00AC6A49">
      <w:pPr>
        <w:pStyle w:val="af4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 w:rsidRPr="00D26658">
        <w:rPr>
          <w:b/>
          <w:color w:val="548DD4" w:themeColor="text2" w:themeTint="99"/>
        </w:rPr>
        <w:t>КОНТАКТНАЯ ИНФОРМАЦИЯ ДЛЯ НАПРАВЛЕНИЯ ОБРАЩЕНИИЙ:</w:t>
      </w:r>
      <w:r w:rsidRPr="00D26658">
        <w:t xml:space="preserve"> </w:t>
      </w:r>
      <w:r w:rsidR="00AC6A49">
        <w:rPr>
          <w:rFonts w:ascii="Tahoma" w:hAnsi="Tahoma" w:cs="Tahoma"/>
          <w:color w:val="333333"/>
          <w:sz w:val="18"/>
          <w:szCs w:val="18"/>
        </w:rPr>
        <w:t>Акционерное общество «Невинномысская электросетевая компания»</w:t>
      </w:r>
    </w:p>
    <w:p w:rsidR="00C02B7A" w:rsidRPr="00D26658" w:rsidRDefault="00AC6A49" w:rsidP="00AC6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lastRenderedPageBreak/>
        <w:t>г. Невинномысск, ул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.Г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агарина,50-А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Телефон:</w:t>
      </w:r>
      <w:r>
        <w:rPr>
          <w:rStyle w:val="contentphone"/>
          <w:rFonts w:ascii="Tahoma" w:hAnsi="Tahoma" w:cs="Tahoma"/>
          <w:b/>
          <w:bCs/>
          <w:color w:val="CC0000"/>
          <w:sz w:val="23"/>
          <w:szCs w:val="23"/>
          <w:shd w:val="clear" w:color="auto" w:fill="FFFFFF"/>
        </w:rPr>
        <w:t>(86554) 3-01-40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Факс: (86554) 3-01-40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Почта: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hyperlink r:id="rId12" w:history="1">
        <w:r>
          <w:rPr>
            <w:rStyle w:val="af5"/>
            <w:rFonts w:ascii="Tahoma" w:hAnsi="Tahoma" w:cs="Tahoma"/>
            <w:color w:val="0033CC"/>
            <w:sz w:val="18"/>
            <w:szCs w:val="18"/>
            <w:shd w:val="clear" w:color="auto" w:fill="FFFFFF"/>
          </w:rPr>
          <w:t>info@nevesk.ru</w:t>
        </w:r>
      </w:hyperlink>
      <w:r w:rsidRPr="00AC6A49">
        <w:rPr>
          <w:rFonts w:ascii="Tahoma" w:hAnsi="Tahoma" w:cs="Tahoma"/>
          <w:color w:val="333333"/>
          <w:sz w:val="18"/>
          <w:szCs w:val="18"/>
          <w:shd w:val="clear" w:color="auto" w:fill="FFFFFF"/>
        </w:rPr>
        <w:t>http://nevesk.ru/</w:t>
      </w:r>
    </w:p>
    <w:sectPr w:rsidR="00C02B7A" w:rsidRPr="00D2665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4F" w:rsidRDefault="006B204F" w:rsidP="00DC7CA8">
      <w:pPr>
        <w:spacing w:after="0" w:line="240" w:lineRule="auto"/>
      </w:pPr>
      <w:r>
        <w:separator/>
      </w:r>
    </w:p>
  </w:endnote>
  <w:endnote w:type="continuationSeparator" w:id="0">
    <w:p w:rsidR="006B204F" w:rsidRDefault="006B204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4F" w:rsidRDefault="006B204F" w:rsidP="00DC7CA8">
      <w:pPr>
        <w:spacing w:after="0" w:line="240" w:lineRule="auto"/>
      </w:pPr>
      <w:r>
        <w:separator/>
      </w:r>
    </w:p>
  </w:footnote>
  <w:footnote w:type="continuationSeparator" w:id="0">
    <w:p w:rsidR="006B204F" w:rsidRDefault="006B204F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</w:t>
      </w:r>
      <w:proofErr w:type="spellStart"/>
      <w:r w:rsidRPr="00996EE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96EEC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2">
    <w:p w:rsidR="00D26658" w:rsidRDefault="00D26658" w:rsidP="00142E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осветительные установки, переносное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номинальным напряжением не выше 380 В.</w:t>
      </w:r>
    </w:p>
  </w:footnote>
  <w:footnote w:id="3">
    <w:p w:rsidR="00D26658" w:rsidRDefault="00D2665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2731"/>
    <w:rsid w:val="000C3C93"/>
    <w:rsid w:val="000D0D64"/>
    <w:rsid w:val="000E710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7161F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A4D60"/>
    <w:rsid w:val="004B75E4"/>
    <w:rsid w:val="004D2FC8"/>
    <w:rsid w:val="004F68F4"/>
    <w:rsid w:val="0051045A"/>
    <w:rsid w:val="0051352D"/>
    <w:rsid w:val="00524428"/>
    <w:rsid w:val="00534E9A"/>
    <w:rsid w:val="00557796"/>
    <w:rsid w:val="0058149F"/>
    <w:rsid w:val="00584BD8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B204F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C2E25"/>
    <w:rsid w:val="008C64E4"/>
    <w:rsid w:val="008D2E8D"/>
    <w:rsid w:val="008E16CB"/>
    <w:rsid w:val="009001F4"/>
    <w:rsid w:val="00904E58"/>
    <w:rsid w:val="00996EEC"/>
    <w:rsid w:val="009B326B"/>
    <w:rsid w:val="009D7322"/>
    <w:rsid w:val="00A22C5F"/>
    <w:rsid w:val="00A44E14"/>
    <w:rsid w:val="00A474DD"/>
    <w:rsid w:val="00A61E75"/>
    <w:rsid w:val="00A705D8"/>
    <w:rsid w:val="00AC3BB0"/>
    <w:rsid w:val="00AC6A49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174A"/>
    <w:rsid w:val="00C74D96"/>
    <w:rsid w:val="00C75E65"/>
    <w:rsid w:val="00CA183B"/>
    <w:rsid w:val="00CA1E91"/>
    <w:rsid w:val="00CC1A0A"/>
    <w:rsid w:val="00CC211B"/>
    <w:rsid w:val="00CF1785"/>
    <w:rsid w:val="00D1019A"/>
    <w:rsid w:val="00D26658"/>
    <w:rsid w:val="00D34055"/>
    <w:rsid w:val="00D37687"/>
    <w:rsid w:val="00D47D80"/>
    <w:rsid w:val="00D50811"/>
    <w:rsid w:val="00D50CC7"/>
    <w:rsid w:val="00D679FC"/>
    <w:rsid w:val="00D73C9D"/>
    <w:rsid w:val="00DC03DD"/>
    <w:rsid w:val="00DC7CA8"/>
    <w:rsid w:val="00E01206"/>
    <w:rsid w:val="00E02CE5"/>
    <w:rsid w:val="00E20DAF"/>
    <w:rsid w:val="00E36F56"/>
    <w:rsid w:val="00E4426D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4184B"/>
    <w:rsid w:val="00F4469B"/>
    <w:rsid w:val="00F87578"/>
    <w:rsid w:val="00FA6398"/>
    <w:rsid w:val="00FC139B"/>
    <w:rsid w:val="00FC1E5A"/>
    <w:rsid w:val="00FC33E3"/>
    <w:rsid w:val="00FE0A6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AC6A49"/>
    <w:pPr>
      <w:spacing w:after="0" w:line="240" w:lineRule="auto"/>
    </w:pPr>
    <w:tblPr>
      <w:tblStyleRowBandSize w:val="1"/>
      <w:tblStyleColBandSize w:val="1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A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hone">
    <w:name w:val="contentphone"/>
    <w:basedOn w:val="a0"/>
    <w:rsid w:val="00AC6A49"/>
  </w:style>
  <w:style w:type="character" w:customStyle="1" w:styleId="apple-converted-space">
    <w:name w:val="apple-converted-space"/>
    <w:basedOn w:val="a0"/>
    <w:rsid w:val="00AC6A49"/>
  </w:style>
  <w:style w:type="character" w:styleId="af5">
    <w:name w:val="Hyperlink"/>
    <w:basedOn w:val="a0"/>
    <w:uiPriority w:val="99"/>
    <w:semiHidden/>
    <w:unhideWhenUsed/>
    <w:rsid w:val="00AC6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AC6A49"/>
    <w:pPr>
      <w:spacing w:after="0" w:line="240" w:lineRule="auto"/>
    </w:pPr>
    <w:tblPr>
      <w:tblStyleRowBandSize w:val="1"/>
      <w:tblStyleColBandSize w:val="1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A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hone">
    <w:name w:val="contentphone"/>
    <w:basedOn w:val="a0"/>
    <w:rsid w:val="00AC6A49"/>
  </w:style>
  <w:style w:type="character" w:customStyle="1" w:styleId="apple-converted-space">
    <w:name w:val="apple-converted-space"/>
    <w:basedOn w:val="a0"/>
    <w:rsid w:val="00AC6A49"/>
  </w:style>
  <w:style w:type="character" w:styleId="af5">
    <w:name w:val="Hyperlink"/>
    <w:basedOn w:val="a0"/>
    <w:uiPriority w:val="99"/>
    <w:semiHidden/>
    <w:unhideWhenUsed/>
    <w:rsid w:val="00AC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eve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21CB-D737-4362-AEFB-04813BE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Viktory</cp:lastModifiedBy>
  <cp:revision>2</cp:revision>
  <cp:lastPrinted>2014-08-01T10:40:00Z</cp:lastPrinted>
  <dcterms:created xsi:type="dcterms:W3CDTF">2017-03-15T05:11:00Z</dcterms:created>
  <dcterms:modified xsi:type="dcterms:W3CDTF">2017-03-15T05:11:00Z</dcterms:modified>
</cp:coreProperties>
</file>