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1D" w:rsidRPr="00DE2844" w:rsidRDefault="00872538" w:rsidP="00D30BB8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D30BB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CE7E4F">
        <w:rPr>
          <w:rFonts w:ascii="Times New Roman" w:hAnsi="Times New Roman" w:cs="Times New Roman"/>
          <w:color w:val="auto"/>
          <w:sz w:val="24"/>
          <w:szCs w:val="24"/>
        </w:rPr>
        <w:t>АО</w:t>
      </w:r>
      <w:r w:rsidR="00D30BB8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793873" w:rsidRPr="00793873">
        <w:rPr>
          <w:rFonts w:ascii="Times New Roman" w:hAnsi="Times New Roman" w:cs="Times New Roman"/>
          <w:color w:val="auto"/>
          <w:sz w:val="24"/>
          <w:szCs w:val="24"/>
        </w:rPr>
        <w:t>НЭСК</w:t>
      </w:r>
      <w:r w:rsidR="00D30BB8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C5088" w:rsidRPr="00DE2844" w:rsidRDefault="007C5088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D9BAF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8D9BAF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Default="005F2F3E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D9BAF" w:themeColor="text2" w:themeTint="99"/>
          <w:sz w:val="24"/>
          <w:szCs w:val="24"/>
        </w:rPr>
      </w:pPr>
      <w:proofErr w:type="spellStart"/>
      <w:r w:rsidRPr="00DE2844">
        <w:rPr>
          <w:rFonts w:ascii="Times New Roman" w:hAnsi="Times New Roman" w:cs="Times New Roman"/>
          <w:b/>
          <w:color w:val="8D9BAF" w:themeColor="text2" w:themeTint="99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  <w:b/>
          <w:color w:val="8D9BAF" w:themeColor="text2" w:themeTint="99"/>
          <w:sz w:val="24"/>
          <w:szCs w:val="24"/>
        </w:rPr>
        <w:t xml:space="preserve"> устройств </w:t>
      </w:r>
      <w:r w:rsidR="0058149F" w:rsidRPr="00DE2844">
        <w:rPr>
          <w:rFonts w:ascii="Times New Roman" w:hAnsi="Times New Roman" w:cs="Times New Roman"/>
          <w:b/>
          <w:color w:val="8D9BAF" w:themeColor="text2" w:themeTint="99"/>
          <w:sz w:val="24"/>
          <w:szCs w:val="24"/>
        </w:rPr>
        <w:t xml:space="preserve">юридических лиц и индивидуальных предпринимателей </w:t>
      </w:r>
      <w:r w:rsidRPr="00DE2844">
        <w:rPr>
          <w:rFonts w:ascii="Times New Roman" w:hAnsi="Times New Roman" w:cs="Times New Roman"/>
          <w:b/>
          <w:color w:val="8D9BAF" w:themeColor="text2" w:themeTint="99"/>
          <w:sz w:val="24"/>
          <w:szCs w:val="24"/>
        </w:rPr>
        <w:t>с максимальной мощностью до 15</w:t>
      </w:r>
      <w:r w:rsidR="0058149F" w:rsidRPr="00DE2844">
        <w:rPr>
          <w:rFonts w:ascii="Times New Roman" w:hAnsi="Times New Roman" w:cs="Times New Roman"/>
          <w:b/>
          <w:color w:val="8D9BAF" w:themeColor="text2" w:themeTint="99"/>
          <w:sz w:val="24"/>
          <w:szCs w:val="24"/>
        </w:rPr>
        <w:t>0</w:t>
      </w:r>
      <w:r w:rsidRPr="00DE2844">
        <w:rPr>
          <w:rFonts w:ascii="Times New Roman" w:hAnsi="Times New Roman" w:cs="Times New Roman"/>
          <w:b/>
          <w:color w:val="8D9BAF" w:themeColor="text2" w:themeTint="99"/>
          <w:sz w:val="24"/>
          <w:szCs w:val="24"/>
        </w:rPr>
        <w:t xml:space="preserve"> кВт</w:t>
      </w:r>
    </w:p>
    <w:p w:rsidR="00872538" w:rsidRPr="00DE2844" w:rsidRDefault="00872538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D9BAF" w:themeColor="text2" w:themeTint="99"/>
          <w:sz w:val="24"/>
          <w:szCs w:val="24"/>
        </w:rPr>
      </w:pPr>
    </w:p>
    <w:p w:rsidR="00996EEC" w:rsidRPr="00DE2844" w:rsidRDefault="008C2E25" w:rsidP="00DE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8D9BAF" w:themeColor="text2" w:themeTint="99"/>
          <w:sz w:val="24"/>
          <w:szCs w:val="24"/>
        </w:rPr>
        <w:t>КРУГ ЗАЯВИТЕЛЕЙ</w:t>
      </w:r>
      <w:r w:rsidR="000653F9" w:rsidRPr="00DE2844">
        <w:rPr>
          <w:rFonts w:ascii="Times New Roman" w:hAnsi="Times New Roman" w:cs="Times New Roman"/>
          <w:b/>
          <w:color w:val="8D9BAF" w:themeColor="text2" w:themeTint="99"/>
          <w:sz w:val="24"/>
          <w:szCs w:val="24"/>
        </w:rPr>
        <w:t xml:space="preserve">: 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proofErr w:type="spellStart"/>
      <w:r w:rsidR="00996EEC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96EEC" w:rsidRPr="00DE2844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</w:t>
      </w:r>
      <w:r w:rsidR="0058149F" w:rsidRPr="00DE2844">
        <w:rPr>
          <w:rFonts w:ascii="Times New Roman" w:hAnsi="Times New Roman" w:cs="Times New Roman"/>
          <w:sz w:val="24"/>
          <w:szCs w:val="24"/>
        </w:rPr>
        <w:t>0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="00996EEC" w:rsidRPr="00DE2844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996EEC" w:rsidRPr="00DE2844">
        <w:rPr>
          <w:rFonts w:ascii="Times New Roman" w:hAnsi="Times New Roman" w:cs="Times New Roman"/>
          <w:sz w:val="24"/>
          <w:szCs w:val="24"/>
        </w:rPr>
        <w:t xml:space="preserve">ючительно (с учетом ранее присоединенных в данной точке присоединения </w:t>
      </w:r>
      <w:proofErr w:type="spellStart"/>
      <w:r w:rsidR="00996EEC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96EEC" w:rsidRPr="00DE2844">
        <w:rPr>
          <w:rFonts w:ascii="Times New Roman" w:hAnsi="Times New Roman" w:cs="Times New Roman"/>
          <w:sz w:val="24"/>
          <w:szCs w:val="24"/>
        </w:rPr>
        <w:t xml:space="preserve"> устройств) </w:t>
      </w:r>
    </w:p>
    <w:p w:rsidR="00996EEC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8D9BAF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E28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8149F" w:rsidRPr="00DE2844"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присоединение </w:t>
      </w:r>
      <w:proofErr w:type="spellStart"/>
      <w:r w:rsidR="0058149F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8149F" w:rsidRPr="00DE2844">
        <w:rPr>
          <w:rFonts w:ascii="Times New Roman" w:hAnsi="Times New Roman" w:cs="Times New Roman"/>
          <w:sz w:val="24"/>
          <w:szCs w:val="24"/>
        </w:rPr>
        <w:t xml:space="preserve">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</w:t>
      </w:r>
      <w:proofErr w:type="spellStart"/>
      <w:r w:rsidR="0058149F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8149F" w:rsidRPr="00DE2844">
        <w:rPr>
          <w:rFonts w:ascii="Times New Roman" w:hAnsi="Times New Roman" w:cs="Times New Roman"/>
          <w:sz w:val="24"/>
          <w:szCs w:val="24"/>
        </w:rPr>
        <w:t xml:space="preserve"> устройств), плата составляет 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DE2844">
        <w:rPr>
          <w:rFonts w:ascii="Times New Roman" w:hAnsi="Times New Roman" w:cs="Times New Roman"/>
          <w:sz w:val="24"/>
          <w:szCs w:val="24"/>
        </w:rPr>
        <w:t xml:space="preserve">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="006967D4" w:rsidRPr="00DE284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967D4" w:rsidRPr="00DE2844"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</w:t>
      </w:r>
      <w:proofErr w:type="gramEnd"/>
      <w:r w:rsidR="006967D4" w:rsidRPr="00DE2844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6967D4" w:rsidRPr="00DE2844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6967D4" w:rsidRPr="00DE2844">
        <w:rPr>
          <w:rFonts w:ascii="Times New Roman" w:hAnsi="Times New Roman" w:cs="Times New Roman"/>
          <w:sz w:val="24"/>
          <w:szCs w:val="24"/>
        </w:rPr>
        <w:t xml:space="preserve"> подана заявка, составляет не более 300 метров в городах и поселках городского типа и не более 500 метров в сельской местности.</w:t>
      </w:r>
    </w:p>
    <w:p w:rsidR="005B627E" w:rsidRPr="00DE2844" w:rsidRDefault="00996EEC" w:rsidP="00DE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</w:t>
      </w:r>
      <w:r w:rsidR="00900D71" w:rsidRPr="00DE2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71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00D71" w:rsidRPr="00DE2844">
        <w:rPr>
          <w:rFonts w:ascii="Times New Roman" w:hAnsi="Times New Roman" w:cs="Times New Roman"/>
          <w:sz w:val="24"/>
          <w:szCs w:val="24"/>
        </w:rPr>
        <w:t xml:space="preserve"> устройств с максимальной мощностью более 15 кВт и до </w:t>
      </w:r>
      <w:r w:rsidR="00872538">
        <w:rPr>
          <w:rFonts w:ascii="Times New Roman" w:hAnsi="Times New Roman" w:cs="Times New Roman"/>
          <w:sz w:val="24"/>
          <w:szCs w:val="24"/>
        </w:rPr>
        <w:br/>
      </w:r>
      <w:r w:rsidR="00900D71" w:rsidRPr="00DE2844">
        <w:rPr>
          <w:rFonts w:ascii="Times New Roman" w:hAnsi="Times New Roman" w:cs="Times New Roman"/>
          <w:sz w:val="24"/>
          <w:szCs w:val="24"/>
        </w:rPr>
        <w:t>150 к</w:t>
      </w:r>
      <w:proofErr w:type="gramStart"/>
      <w:r w:rsidR="00900D71" w:rsidRPr="00DE2844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900D71" w:rsidRPr="00DE2844">
        <w:rPr>
          <w:rFonts w:ascii="Times New Roman" w:hAnsi="Times New Roman" w:cs="Times New Roman"/>
          <w:sz w:val="24"/>
          <w:szCs w:val="24"/>
        </w:rPr>
        <w:t xml:space="preserve">ючительно рассчитывается исходя из величины максимальной мощности присоединяемых </w:t>
      </w:r>
      <w:proofErr w:type="spellStart"/>
      <w:r w:rsidR="00900D71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00D71" w:rsidRPr="00DE2844">
        <w:rPr>
          <w:rFonts w:ascii="Times New Roman" w:hAnsi="Times New Roman" w:cs="Times New Roman"/>
          <w:sz w:val="24"/>
          <w:szCs w:val="24"/>
        </w:rPr>
        <w:t xml:space="preserve"> устройств с применением стандартизированных тарифных ставок,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872538" w:rsidRPr="00DE2844">
        <w:rPr>
          <w:rFonts w:ascii="Times New Roman" w:hAnsi="Times New Roman" w:cs="Times New Roman"/>
          <w:sz w:val="24"/>
          <w:szCs w:val="24"/>
        </w:rPr>
        <w:t>установленных</w:t>
      </w:r>
      <w:r w:rsidRPr="00DE2844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государственного регулирования тарифов.</w:t>
      </w:r>
    </w:p>
    <w:p w:rsidR="0058149F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844">
        <w:rPr>
          <w:rFonts w:ascii="Times New Roman" w:hAnsi="Times New Roman" w:cs="Times New Roman"/>
          <w:b/>
          <w:color w:val="8D9BAF" w:themeColor="text2" w:themeTint="99"/>
          <w:sz w:val="24"/>
          <w:szCs w:val="24"/>
        </w:rPr>
        <w:t>УСЛОВИЯ ОКАЗАНИЯ УСЛУГИ (ПРОЦЕССА):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DE2844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DE2844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E7" w:rsidRPr="00DE2844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D42E7" w:rsidRPr="00DE284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DE2844">
        <w:rPr>
          <w:rFonts w:ascii="Times New Roman" w:hAnsi="Times New Roman" w:cs="Times New Roman"/>
          <w:sz w:val="24"/>
          <w:szCs w:val="24"/>
        </w:rPr>
        <w:t>а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DE2844">
        <w:rPr>
          <w:rFonts w:ascii="Times New Roman" w:hAnsi="Times New Roman" w:cs="Times New Roman"/>
          <w:sz w:val="24"/>
          <w:szCs w:val="24"/>
        </w:rPr>
        <w:t>ы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="0058149F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8149F" w:rsidRPr="00DE2844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="0058149F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8149F" w:rsidRPr="00DE2844">
        <w:rPr>
          <w:rFonts w:ascii="Times New Roman" w:hAnsi="Times New Roman" w:cs="Times New Roman"/>
          <w:sz w:val="24"/>
          <w:szCs w:val="24"/>
        </w:rPr>
        <w:t xml:space="preserve"> устройств.</w:t>
      </w:r>
      <w:proofErr w:type="gramEnd"/>
    </w:p>
    <w:p w:rsidR="008C2E25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8D9BAF" w:themeColor="text2" w:themeTint="99"/>
          <w:sz w:val="24"/>
          <w:szCs w:val="24"/>
        </w:rPr>
        <w:t>РЕЗУЛЬТАТ ОКАЗАНИЯ УСЛУГИ (ПРОЦЕССА):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FE184E" w:rsidRPr="00DE2844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195358" w:rsidRPr="00DE2844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DE2844">
        <w:rPr>
          <w:rFonts w:ascii="Times New Roman" w:hAnsi="Times New Roman" w:cs="Times New Roman"/>
          <w:sz w:val="24"/>
          <w:szCs w:val="24"/>
        </w:rPr>
        <w:t>е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58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DE2844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Pr="00DE2844">
        <w:rPr>
          <w:rFonts w:ascii="Times New Roman" w:hAnsi="Times New Roman" w:cs="Times New Roman"/>
          <w:sz w:val="24"/>
          <w:szCs w:val="24"/>
        </w:rPr>
        <w:t>.</w:t>
      </w:r>
    </w:p>
    <w:p w:rsidR="00FC33E3" w:rsidRPr="00DE2844" w:rsidRDefault="000825BA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8D9BAF" w:themeColor="text2" w:themeTint="99"/>
          <w:sz w:val="24"/>
          <w:szCs w:val="24"/>
        </w:rPr>
        <w:t>ОБЩИЙ СРОК ОКАЗАНИЯ УСЛУГИ (ПРОЦЕССА):</w:t>
      </w:r>
      <w:r w:rsidR="00195358" w:rsidRPr="00DE2844">
        <w:rPr>
          <w:rFonts w:ascii="Times New Roman" w:hAnsi="Times New Roman" w:cs="Times New Roman"/>
          <w:b/>
          <w:color w:val="8D9BAF" w:themeColor="text2" w:themeTint="99"/>
          <w:sz w:val="24"/>
          <w:szCs w:val="24"/>
        </w:rPr>
        <w:t xml:space="preserve"> </w:t>
      </w:r>
      <w:proofErr w:type="gramStart"/>
      <w:r w:rsidR="00195358" w:rsidRPr="00DE2844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DE284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</w:t>
      </w:r>
      <w:r w:rsidR="00FE184E" w:rsidRPr="00DE2844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класса напряжения до границ участка, на котором расположены присоединяемые </w:t>
      </w:r>
      <w:proofErr w:type="spellStart"/>
      <w:r w:rsidR="00195358" w:rsidRPr="00DE2844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DE2844">
        <w:rPr>
          <w:rFonts w:ascii="Times New Roman" w:hAnsi="Times New Roman" w:cs="Times New Roman"/>
          <w:sz w:val="24"/>
          <w:szCs w:val="24"/>
        </w:rPr>
        <w:t xml:space="preserve"> устройства, составляет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не более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300 метров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 и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не более 500 метров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в сельской местности</w:t>
      </w:r>
      <w:r w:rsidR="00FC33E3" w:rsidRPr="00DE284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33E3" w:rsidRPr="00DE2844" w:rsidRDefault="00FC33E3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E2844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от сетевой организации не требуется выполнение работ по строительству (реконструкции)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195358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DE2844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DE2844">
        <w:rPr>
          <w:rFonts w:ascii="Times New Roman" w:hAnsi="Times New Roman" w:cs="Times New Roman"/>
          <w:sz w:val="24"/>
          <w:szCs w:val="24"/>
        </w:rPr>
        <w:t xml:space="preserve"> с даты</w:t>
      </w:r>
      <w:proofErr w:type="gramEnd"/>
      <w:r w:rsidR="004F68F4" w:rsidRPr="00DE2844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195358" w:rsidRPr="00DE2844">
        <w:rPr>
          <w:rFonts w:ascii="Times New Roman" w:hAnsi="Times New Roman" w:cs="Times New Roman"/>
          <w:sz w:val="24"/>
          <w:szCs w:val="24"/>
        </w:rPr>
        <w:t>;</w:t>
      </w:r>
    </w:p>
    <w:p w:rsidR="00195358" w:rsidRPr="00DE2844" w:rsidRDefault="00195358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sz w:val="24"/>
          <w:szCs w:val="24"/>
        </w:rPr>
        <w:t>в иных случаях</w:t>
      </w:r>
      <w:r w:rsidRPr="00DE2844">
        <w:rPr>
          <w:rFonts w:ascii="Times New Roman" w:hAnsi="Times New Roman" w:cs="Times New Roman"/>
          <w:sz w:val="24"/>
          <w:szCs w:val="24"/>
        </w:rPr>
        <w:t xml:space="preserve"> – </w:t>
      </w:r>
      <w:r w:rsidRPr="00DE2844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4F68F4" w:rsidRPr="00DE2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DE284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DE284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E2844">
        <w:rPr>
          <w:rFonts w:ascii="Times New Roman" w:hAnsi="Times New Roman" w:cs="Times New Roman"/>
          <w:sz w:val="24"/>
          <w:szCs w:val="24"/>
        </w:rPr>
        <w:t>.</w:t>
      </w:r>
    </w:p>
    <w:p w:rsidR="00195358" w:rsidRPr="00DE2844" w:rsidRDefault="00FE184E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lastRenderedPageBreak/>
        <w:t>При несоблюдении всех вышеуказанных условий</w:t>
      </w:r>
      <w:r w:rsidR="00FC33E3" w:rsidRPr="00DE2844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1 год</w:t>
      </w:r>
      <w:r w:rsidR="004F68F4" w:rsidRPr="00DE2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DE284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DE284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225818" w:rsidRPr="00DE2844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</w:t>
      </w:r>
      <w:r w:rsidR="00195358" w:rsidRPr="00DE2844">
        <w:rPr>
          <w:rFonts w:ascii="Times New Roman" w:hAnsi="Times New Roman" w:cs="Times New Roman"/>
          <w:sz w:val="24"/>
          <w:szCs w:val="24"/>
        </w:rPr>
        <w:t>.</w:t>
      </w:r>
    </w:p>
    <w:p w:rsidR="000653F9" w:rsidRPr="00DE2844" w:rsidRDefault="008C2E25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8D9BAF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8D9BAF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271"/>
        <w:gridCol w:w="2692"/>
        <w:gridCol w:w="2262"/>
        <w:gridCol w:w="1764"/>
        <w:gridCol w:w="2634"/>
      </w:tblGrid>
      <w:tr w:rsidR="00872538" w:rsidRPr="00DE2844" w:rsidTr="00840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7FD13B" w:themeColor="accent1"/>
              <w:bottom w:val="double" w:sz="4" w:space="0" w:color="7FD13B" w:themeColor="accent1"/>
            </w:tcBorders>
          </w:tcPr>
          <w:p w:rsidR="00CA183B" w:rsidRPr="00DE2844" w:rsidRDefault="00CA183B" w:rsidP="008725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7FD13B" w:themeColor="accent1"/>
              <w:right w:val="single" w:sz="4" w:space="0" w:color="FFFFFF" w:themeColor="background1"/>
            </w:tcBorders>
          </w:tcPr>
          <w:p w:rsidR="00CA183B" w:rsidRPr="00DE2844" w:rsidRDefault="00CA183B" w:rsidP="00793873">
            <w:pPr>
              <w:pStyle w:val="af4"/>
              <w:rPr>
                <w:lang w:eastAsia="ru-RU"/>
              </w:rPr>
            </w:pPr>
            <w:r w:rsidRPr="00DE2844">
              <w:rPr>
                <w:lang w:eastAsia="ru-RU"/>
              </w:rPr>
              <w:t>Этап</w:t>
            </w:r>
          </w:p>
        </w:tc>
        <w:tc>
          <w:tcPr>
            <w:tcW w:w="793" w:type="pct"/>
            <w:tcBorders>
              <w:top w:val="single" w:sz="8" w:space="0" w:color="7FD13B" w:themeColor="accent1"/>
              <w:left w:val="single" w:sz="4" w:space="0" w:color="FFFFFF" w:themeColor="background1"/>
              <w:bottom w:val="double" w:sz="4" w:space="0" w:color="7FD13B" w:themeColor="accent1"/>
              <w:right w:val="single" w:sz="4" w:space="0" w:color="FFFFFF" w:themeColor="background1"/>
            </w:tcBorders>
          </w:tcPr>
          <w:p w:rsidR="00CA183B" w:rsidRPr="00DE2844" w:rsidRDefault="00CA183B" w:rsidP="00793873">
            <w:pPr>
              <w:pStyle w:val="af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DE2844">
              <w:rPr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single" w:sz="4" w:space="0" w:color="FFFFFF" w:themeColor="background1"/>
              <w:bottom w:val="double" w:sz="4" w:space="0" w:color="7FD13B" w:themeColor="accent1"/>
              <w:right w:val="single" w:sz="4" w:space="0" w:color="FFFFFF" w:themeColor="background1"/>
            </w:tcBorders>
          </w:tcPr>
          <w:p w:rsidR="00CA183B" w:rsidRPr="00DE2844" w:rsidRDefault="00CA183B" w:rsidP="00793873">
            <w:pPr>
              <w:pStyle w:val="af4"/>
              <w:rPr>
                <w:lang w:eastAsia="ru-RU"/>
              </w:rPr>
            </w:pPr>
            <w:r w:rsidRPr="00DE2844">
              <w:rPr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7FD13B" w:themeColor="accent1"/>
              <w:left w:val="single" w:sz="4" w:space="0" w:color="FFFFFF" w:themeColor="background1"/>
              <w:bottom w:val="double" w:sz="4" w:space="0" w:color="7FD13B" w:themeColor="accent1"/>
              <w:right w:val="single" w:sz="4" w:space="0" w:color="FFFFFF" w:themeColor="background1"/>
            </w:tcBorders>
          </w:tcPr>
          <w:p w:rsidR="00CA183B" w:rsidRPr="00DE2844" w:rsidRDefault="00CA183B" w:rsidP="00793873">
            <w:pPr>
              <w:pStyle w:val="af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DE2844">
              <w:rPr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7FD13B" w:themeColor="accent1"/>
              <w:right w:val="single" w:sz="4" w:space="0" w:color="FFFFFF" w:themeColor="background1"/>
            </w:tcBorders>
          </w:tcPr>
          <w:p w:rsidR="00CA183B" w:rsidRPr="00DE2844" w:rsidRDefault="00CA183B" w:rsidP="00793873">
            <w:pPr>
              <w:pStyle w:val="af4"/>
              <w:rPr>
                <w:lang w:eastAsia="ru-RU"/>
              </w:rPr>
            </w:pPr>
            <w:r w:rsidRPr="00DE2844">
              <w:rPr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7FD13B" w:themeColor="accent1"/>
              <w:left w:val="single" w:sz="4" w:space="0" w:color="FFFFFF" w:themeColor="background1"/>
              <w:bottom w:val="double" w:sz="4" w:space="0" w:color="7FD13B" w:themeColor="accent1"/>
            </w:tcBorders>
          </w:tcPr>
          <w:p w:rsidR="00CA183B" w:rsidRPr="00DE2844" w:rsidRDefault="00CA183B" w:rsidP="00793873">
            <w:pPr>
              <w:pStyle w:val="af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DE2844">
              <w:rPr>
                <w:lang w:eastAsia="ru-RU"/>
              </w:rPr>
              <w:t>Ссылка на нормативно правовой акт</w:t>
            </w:r>
          </w:p>
        </w:tc>
      </w:tr>
      <w:tr w:rsidR="00872538" w:rsidRPr="00DE2844" w:rsidTr="00840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7FD13B" w:themeColor="accent1"/>
            </w:tcBorders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7FD13B" w:themeColor="accent1"/>
            </w:tcBorders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tcBorders>
              <w:top w:val="double" w:sz="4" w:space="0" w:color="7FD13B" w:themeColor="accent1"/>
            </w:tcBorders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double" w:sz="4" w:space="0" w:color="7FD13B" w:themeColor="accent1"/>
            </w:tcBorders>
          </w:tcPr>
          <w:p w:rsidR="00872538" w:rsidRPr="00DE2844" w:rsidRDefault="00872538" w:rsidP="0087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1.1.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7FD13B" w:themeColor="accent1"/>
            </w:tcBorders>
          </w:tcPr>
          <w:p w:rsidR="00872538" w:rsidRPr="00DE2844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872538" w:rsidRPr="00DE2844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872538" w:rsidRPr="0084027E" w:rsidRDefault="00872538" w:rsidP="0084027E">
            <w:pPr>
              <w:pStyle w:val="1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402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заявка по электронной форме на сайте </w:t>
            </w:r>
            <w:r w:rsidR="00D30BB8" w:rsidRPr="008402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                        </w:t>
            </w:r>
            <w:r w:rsidR="00CE7E4F" w:rsidRPr="008402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АО</w:t>
            </w:r>
            <w:r w:rsidR="00D30BB8" w:rsidRPr="008402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 «</w:t>
            </w:r>
            <w:r w:rsidR="0084027E" w:rsidRPr="008402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НЭСК</w:t>
            </w:r>
            <w:r w:rsidR="00D30BB8" w:rsidRPr="008402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»</w:t>
            </w:r>
            <w:r w:rsidRPr="008402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 или сайте </w:t>
            </w:r>
            <w:r w:rsidR="0084027E" w:rsidRPr="008402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http://nevesk.ru/</w:t>
            </w:r>
            <w:r w:rsidRPr="008402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7FD13B" w:themeColor="accent1"/>
            </w:tcBorders>
          </w:tcPr>
          <w:p w:rsidR="00872538" w:rsidRPr="00DE2844" w:rsidRDefault="0087253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7FD13B" w:themeColor="accent1"/>
            </w:tcBorders>
          </w:tcPr>
          <w:p w:rsidR="00872538" w:rsidRPr="00DE2844" w:rsidRDefault="00872538" w:rsidP="00DE2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 8, 9, 10, 14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Pr="00DE2844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DE2844">
              <w:rPr>
                <w:rFonts w:ascii="Times New Roman" w:hAnsi="Times New Roman" w:cs="Times New Roman"/>
              </w:rPr>
              <w:t>.</w:t>
            </w:r>
          </w:p>
        </w:tc>
      </w:tr>
      <w:tr w:rsidR="00872538" w:rsidRPr="00DE2844" w:rsidTr="0084027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1.2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DE2844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2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56E2" w:rsidRPr="00DE2844" w:rsidTr="00840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C56E2" w:rsidRPr="00DE2844" w:rsidRDefault="002C56E2" w:rsidP="00872538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3" w:type="pct"/>
            <w:vMerge w:val="restar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2.1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(выдача при очном посещении офиса обслуживания) сетевой организацией проекта договора об осуществлении технологического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  с  техническими условиями</w:t>
            </w:r>
          </w:p>
        </w:tc>
        <w:tc>
          <w:tcPr>
            <w:tcW w:w="79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DE2844">
              <w:rPr>
                <w:rFonts w:ascii="Times New Roman" w:hAnsi="Times New Roman" w:cs="Times New Roman"/>
              </w:rPr>
              <w:t xml:space="preserve">, </w:t>
            </w:r>
            <w:r w:rsidRPr="00DE2844"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дней со дня  получения заявки; </w:t>
            </w:r>
          </w:p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30 дней </w:t>
            </w:r>
            <w:proofErr w:type="gramStart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2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56E2" w:rsidRPr="00DE2844" w:rsidTr="0084027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C56E2" w:rsidRPr="00DE2844" w:rsidRDefault="002C56E2" w:rsidP="00DE2844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2.2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DE2844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2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25818" w:rsidRPr="00DE2844" w:rsidTr="00840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25818" w:rsidRPr="00DE2844" w:rsidRDefault="00225818" w:rsidP="00DE2844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25818" w:rsidRPr="00DE2844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225818" w:rsidRPr="00DE2844" w:rsidRDefault="00225818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225818" w:rsidRPr="00DE2844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 xml:space="preserve">2.3 </w:t>
            </w:r>
            <w:r w:rsidR="00D7240F"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</w:t>
            </w:r>
            <w:r w:rsidR="00D7240F"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подписания проекта договора</w:t>
            </w:r>
          </w:p>
        </w:tc>
        <w:tc>
          <w:tcPr>
            <w:tcW w:w="790" w:type="pct"/>
          </w:tcPr>
          <w:p w:rsidR="00225818" w:rsidRPr="00DE2844" w:rsidRDefault="00D7240F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25818" w:rsidRPr="00DE2844" w:rsidRDefault="00D7240F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20" w:type="pct"/>
          </w:tcPr>
          <w:p w:rsidR="00225818" w:rsidRPr="00DE2844" w:rsidRDefault="00D7240F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2C56E2" w:rsidRPr="00DE2844" w:rsidTr="0084027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C56E2" w:rsidRPr="00DE2844" w:rsidRDefault="002C56E2" w:rsidP="00DE2844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2.</w:t>
            </w:r>
            <w:r w:rsidR="00225818" w:rsidRPr="00DE284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4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письменно</w:t>
            </w:r>
            <w:r w:rsidR="002A16A3" w:rsidRPr="00DE2844">
              <w:rPr>
                <w:rFonts w:ascii="Times New Roman" w:hAnsi="Times New Roman" w:cs="Times New Roman"/>
              </w:rPr>
              <w:t xml:space="preserve">й </w:t>
            </w:r>
            <w:r w:rsidRPr="00DE2844">
              <w:rPr>
                <w:rFonts w:ascii="Times New Roman" w:hAnsi="Times New Roman" w:cs="Times New Roman"/>
              </w:rPr>
              <w:t>или электронно</w:t>
            </w:r>
            <w:r w:rsidR="002A16A3" w:rsidRPr="00DE2844">
              <w:rPr>
                <w:rFonts w:ascii="Times New Roman" w:hAnsi="Times New Roman" w:cs="Times New Roman"/>
              </w:rPr>
              <w:t>й форме</w:t>
            </w:r>
          </w:p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2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238C5" w:rsidRPr="00DE2844" w:rsidTr="00840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F238C5" w:rsidRPr="00DE2844" w:rsidRDefault="00F238C5" w:rsidP="00872538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vMerge w:val="restar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3.1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15, 17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238C5" w:rsidRPr="00DE2844" w:rsidTr="0084027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3.2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15, 16.1, 18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238C5" w:rsidRPr="00DE2844" w:rsidTr="00840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3.3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0AE" w:rsidRPr="00DE2844" w:rsidTr="0084027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3.4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E2844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 xml:space="preserve">Письменное уведомление о выполнении технических условий с приложением </w:t>
            </w:r>
            <w:r w:rsidR="002D0A0C" w:rsidRPr="00DE2844">
              <w:rPr>
                <w:rFonts w:ascii="Times New Roman" w:hAnsi="Times New Roman" w:cs="Times New Roman"/>
              </w:rPr>
              <w:t xml:space="preserve">необходимых </w:t>
            </w:r>
            <w:r w:rsidRPr="00DE2844"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2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B500AE" w:rsidRPr="00DE2844" w:rsidTr="00840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B500AE" w:rsidRPr="00DE2844" w:rsidRDefault="00B500AE" w:rsidP="00872538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3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4.1.</w:t>
            </w:r>
            <w:r w:rsidRPr="00DE284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B500AE" w:rsidRPr="00DE2844" w:rsidRDefault="0084027E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B500AE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DE284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2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B500AE" w:rsidRPr="00DE2844" w:rsidTr="0084027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4.2.</w:t>
            </w:r>
            <w:r w:rsidRPr="00DE284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B500AE" w:rsidRPr="00DE2844" w:rsidRDefault="0084027E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B500AE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DE284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DE2844">
              <w:rPr>
                <w:rFonts w:ascii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DE2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89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B500AE" w:rsidRPr="00DE2844" w:rsidTr="00840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4.3.</w:t>
            </w:r>
            <w:r w:rsidRPr="00DE284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B500AE" w:rsidRPr="00DE2844" w:rsidRDefault="0084027E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B500AE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DE284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2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DE2844">
              <w:t xml:space="preserve">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DE284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F238C5" w:rsidRPr="00DE2844" w:rsidTr="0084027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4.3.</w:t>
            </w:r>
            <w:r w:rsidRPr="00DE2844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DE2844" w:rsidRDefault="00FB72A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В день </w:t>
            </w:r>
            <w:r w:rsidR="00F238C5" w:rsidRPr="00DE2844">
              <w:rPr>
                <w:rFonts w:ascii="Times New Roman" w:hAnsi="Times New Roman" w:cs="Times New Roman"/>
              </w:rPr>
              <w:t>проведени</w:t>
            </w:r>
            <w:r w:rsidRPr="00DE2844">
              <w:rPr>
                <w:rFonts w:ascii="Times New Roman" w:hAnsi="Times New Roman" w:cs="Times New Roman"/>
              </w:rPr>
              <w:t>я</w:t>
            </w:r>
            <w:r w:rsidR="00F238C5" w:rsidRPr="00DE2844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92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B500AE" w:rsidRPr="00DE2844" w:rsidTr="00840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 xml:space="preserve">4.4. </w:t>
            </w:r>
            <w:r w:rsidRPr="00DE2844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DE2844" w:rsidRDefault="00127174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92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872538" w:rsidRPr="00DE2844" w:rsidTr="0084027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5.1</w:t>
            </w:r>
            <w:r w:rsidRPr="00DE2844">
              <w:rPr>
                <w:rFonts w:ascii="Times New Roman" w:hAnsi="Times New Roman" w:cs="Times New Roman"/>
              </w:rPr>
              <w:t xml:space="preserve"> Фактическое присоединение объектов заявителя к электрическим сетям и включение коммутационного </w:t>
            </w:r>
            <w:r w:rsidRPr="00DE2844">
              <w:rPr>
                <w:rFonts w:ascii="Times New Roman" w:hAnsi="Times New Roman" w:cs="Times New Roman"/>
              </w:rPr>
              <w:lastRenderedPageBreak/>
              <w:t>аппарата (фиксация коммутационного аппарата в положении "включено").</w:t>
            </w:r>
          </w:p>
        </w:tc>
        <w:tc>
          <w:tcPr>
            <w:tcW w:w="79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872538" w:rsidRPr="00DE2844" w:rsidTr="00840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5.2.</w:t>
            </w:r>
            <w:r w:rsidRPr="00DE2844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872538" w:rsidRPr="00DE2844" w:rsidTr="0084027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5.3.</w:t>
            </w:r>
            <w:r w:rsidRPr="00DE2844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84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outlineLvl w:val="0"/>
            </w:pPr>
            <w:r w:rsidRPr="00DE2844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20" w:type="pct"/>
          </w:tcPr>
          <w:p w:rsidR="00872538" w:rsidRPr="00DE2844" w:rsidRDefault="00872538" w:rsidP="00DE2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844">
              <w:rPr>
                <w:rFonts w:ascii="Times New Roman" w:hAnsi="Times New Roman" w:cs="Times New Roman"/>
              </w:rPr>
              <w:t xml:space="preserve">Пункт 19 (1)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84027E" w:rsidRDefault="0084027E" w:rsidP="0084027E">
      <w:pPr>
        <w:pStyle w:val="af6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Акционерное общество «Невинномысская электросетевая компания»</w:t>
      </w:r>
    </w:p>
    <w:p w:rsidR="0084027E" w:rsidRDefault="0084027E" w:rsidP="0084027E">
      <w:pPr>
        <w:pStyle w:val="af6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г. Невинномысск, ул</w:t>
      </w:r>
      <w:proofErr w:type="gram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.Г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агарина,50-А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Телефон:</w:t>
      </w:r>
      <w:r>
        <w:rPr>
          <w:rStyle w:val="contentphone"/>
          <w:rFonts w:ascii="Tahoma" w:hAnsi="Tahoma" w:cs="Tahoma"/>
          <w:b/>
          <w:bCs/>
          <w:color w:val="CC0000"/>
          <w:sz w:val="23"/>
          <w:szCs w:val="23"/>
          <w:shd w:val="clear" w:color="auto" w:fill="FFFFFF"/>
        </w:rPr>
        <w:t>(86554) 3-01-40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Факс: (86554) 3-01-40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Почта: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hyperlink r:id="rId12" w:history="1">
        <w:r>
          <w:rPr>
            <w:rStyle w:val="af5"/>
            <w:rFonts w:ascii="Tahoma" w:hAnsi="Tahoma" w:cs="Tahoma"/>
            <w:color w:val="0033CC"/>
            <w:sz w:val="18"/>
            <w:szCs w:val="18"/>
            <w:shd w:val="clear" w:color="auto" w:fill="FFFFFF"/>
          </w:rPr>
          <w:t>info@nevesk.ru</w:t>
        </w:r>
      </w:hyperlink>
    </w:p>
    <w:p w:rsidR="0084027E" w:rsidRDefault="0084027E">
      <w:pPr>
        <w:pStyle w:val="af6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</w:p>
    <w:sectPr w:rsidR="0084027E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95" w:rsidRDefault="006E4095" w:rsidP="00DC7CA8">
      <w:pPr>
        <w:spacing w:after="0" w:line="240" w:lineRule="auto"/>
      </w:pPr>
      <w:r>
        <w:separator/>
      </w:r>
    </w:p>
  </w:endnote>
  <w:endnote w:type="continuationSeparator" w:id="0">
    <w:p w:rsidR="006E4095" w:rsidRDefault="006E409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95" w:rsidRDefault="006E4095" w:rsidP="00DC7CA8">
      <w:pPr>
        <w:spacing w:after="0" w:line="240" w:lineRule="auto"/>
      </w:pPr>
      <w:r>
        <w:separator/>
      </w:r>
    </w:p>
  </w:footnote>
  <w:footnote w:type="continuationSeparator" w:id="0">
    <w:p w:rsidR="006E4095" w:rsidRDefault="006E4095" w:rsidP="00DC7CA8">
      <w:pPr>
        <w:spacing w:after="0" w:line="240" w:lineRule="auto"/>
      </w:pPr>
      <w:r>
        <w:continuationSeparator/>
      </w:r>
    </w:p>
  </w:footnote>
  <w:footnote w:id="1">
    <w:p w:rsidR="00872538" w:rsidRDefault="00872538" w:rsidP="00DE2844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E2844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DE2844">
        <w:rPr>
          <w:rFonts w:ascii="Times New Roman" w:hAnsi="Times New Roman" w:cs="Times New Roman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B500AE" w:rsidRDefault="00B500AE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C3C93"/>
    <w:rsid w:val="000D0D64"/>
    <w:rsid w:val="000E710C"/>
    <w:rsid w:val="00127174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A1715"/>
    <w:rsid w:val="001D1257"/>
    <w:rsid w:val="001D45A0"/>
    <w:rsid w:val="00206CD3"/>
    <w:rsid w:val="00225818"/>
    <w:rsid w:val="0022778E"/>
    <w:rsid w:val="00231805"/>
    <w:rsid w:val="00233155"/>
    <w:rsid w:val="00242530"/>
    <w:rsid w:val="00251BEC"/>
    <w:rsid w:val="0025571B"/>
    <w:rsid w:val="0029622E"/>
    <w:rsid w:val="002963F2"/>
    <w:rsid w:val="002978AF"/>
    <w:rsid w:val="002A16A3"/>
    <w:rsid w:val="002A3BA1"/>
    <w:rsid w:val="002A4954"/>
    <w:rsid w:val="002A5552"/>
    <w:rsid w:val="002C24EC"/>
    <w:rsid w:val="002C569E"/>
    <w:rsid w:val="002C56E2"/>
    <w:rsid w:val="002D0A0C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4330"/>
    <w:rsid w:val="004A4D60"/>
    <w:rsid w:val="004B75E4"/>
    <w:rsid w:val="004D2FC8"/>
    <w:rsid w:val="004F68F4"/>
    <w:rsid w:val="0051045A"/>
    <w:rsid w:val="0051352D"/>
    <w:rsid w:val="00524428"/>
    <w:rsid w:val="00534E9A"/>
    <w:rsid w:val="00554C9D"/>
    <w:rsid w:val="00557796"/>
    <w:rsid w:val="0057192D"/>
    <w:rsid w:val="0058149F"/>
    <w:rsid w:val="00584BD8"/>
    <w:rsid w:val="005B627E"/>
    <w:rsid w:val="005C22A7"/>
    <w:rsid w:val="005E5AAE"/>
    <w:rsid w:val="005F2F3E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967D4"/>
    <w:rsid w:val="006A3ACA"/>
    <w:rsid w:val="006D2EDE"/>
    <w:rsid w:val="006E4095"/>
    <w:rsid w:val="006F2514"/>
    <w:rsid w:val="006F446F"/>
    <w:rsid w:val="0070128B"/>
    <w:rsid w:val="00762B2B"/>
    <w:rsid w:val="00776C32"/>
    <w:rsid w:val="0078335E"/>
    <w:rsid w:val="007877ED"/>
    <w:rsid w:val="007919F1"/>
    <w:rsid w:val="00793873"/>
    <w:rsid w:val="007A2C8F"/>
    <w:rsid w:val="007A70DE"/>
    <w:rsid w:val="007C5088"/>
    <w:rsid w:val="007E41FA"/>
    <w:rsid w:val="00806C78"/>
    <w:rsid w:val="008117CC"/>
    <w:rsid w:val="00823FF3"/>
    <w:rsid w:val="00824E68"/>
    <w:rsid w:val="008254DA"/>
    <w:rsid w:val="0082713E"/>
    <w:rsid w:val="0084027E"/>
    <w:rsid w:val="00863174"/>
    <w:rsid w:val="0086326F"/>
    <w:rsid w:val="00872538"/>
    <w:rsid w:val="008C2E25"/>
    <w:rsid w:val="008C64E4"/>
    <w:rsid w:val="008D2E8D"/>
    <w:rsid w:val="008E16CB"/>
    <w:rsid w:val="009001F4"/>
    <w:rsid w:val="00900D71"/>
    <w:rsid w:val="00904E58"/>
    <w:rsid w:val="009721D0"/>
    <w:rsid w:val="00996EEC"/>
    <w:rsid w:val="009D7322"/>
    <w:rsid w:val="00A22C5F"/>
    <w:rsid w:val="00A44E14"/>
    <w:rsid w:val="00A474DD"/>
    <w:rsid w:val="00A61E75"/>
    <w:rsid w:val="00A705D8"/>
    <w:rsid w:val="00AD5FA7"/>
    <w:rsid w:val="00AE08E3"/>
    <w:rsid w:val="00AF67C0"/>
    <w:rsid w:val="00B04094"/>
    <w:rsid w:val="00B118E9"/>
    <w:rsid w:val="00B40D8E"/>
    <w:rsid w:val="00B500A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458B0"/>
    <w:rsid w:val="00C514F8"/>
    <w:rsid w:val="00C64628"/>
    <w:rsid w:val="00C74D96"/>
    <w:rsid w:val="00C75E65"/>
    <w:rsid w:val="00CA183B"/>
    <w:rsid w:val="00CA1E91"/>
    <w:rsid w:val="00CC1A0A"/>
    <w:rsid w:val="00CC211B"/>
    <w:rsid w:val="00CE7E4F"/>
    <w:rsid w:val="00CF1785"/>
    <w:rsid w:val="00D1019A"/>
    <w:rsid w:val="00D30BB8"/>
    <w:rsid w:val="00D34055"/>
    <w:rsid w:val="00D47D80"/>
    <w:rsid w:val="00D50CC7"/>
    <w:rsid w:val="00D679FC"/>
    <w:rsid w:val="00D7240F"/>
    <w:rsid w:val="00D73C9D"/>
    <w:rsid w:val="00DC03DD"/>
    <w:rsid w:val="00DC7CA8"/>
    <w:rsid w:val="00DE2844"/>
    <w:rsid w:val="00E01206"/>
    <w:rsid w:val="00E20DAF"/>
    <w:rsid w:val="00E36F56"/>
    <w:rsid w:val="00E5056E"/>
    <w:rsid w:val="00E53D9B"/>
    <w:rsid w:val="00E557B2"/>
    <w:rsid w:val="00E70070"/>
    <w:rsid w:val="00E70F7F"/>
    <w:rsid w:val="00EA53BE"/>
    <w:rsid w:val="00EC6F80"/>
    <w:rsid w:val="00ED42E7"/>
    <w:rsid w:val="00EE2C63"/>
    <w:rsid w:val="00F238C5"/>
    <w:rsid w:val="00F4184B"/>
    <w:rsid w:val="00F8604B"/>
    <w:rsid w:val="00F87578"/>
    <w:rsid w:val="00FB72A9"/>
    <w:rsid w:val="00FC139B"/>
    <w:rsid w:val="00FC1E5A"/>
    <w:rsid w:val="00FC33E3"/>
    <w:rsid w:val="00FE0A69"/>
    <w:rsid w:val="00FE184E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5EA226" w:themeColor="accent1" w:themeShade="BF"/>
    </w:rPr>
    <w:tblPr>
      <w:tblStyleRowBandSize w:val="1"/>
      <w:tblStyleColBandSize w:val="1"/>
      <w:tblBorders>
        <w:top w:val="single" w:sz="8" w:space="0" w:color="7FD13B" w:themeColor="accent1"/>
        <w:bottom w:val="single" w:sz="8" w:space="0" w:color="7FD13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D1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band1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 Spacing"/>
    <w:uiPriority w:val="1"/>
    <w:qFormat/>
    <w:rsid w:val="00793873"/>
    <w:pPr>
      <w:spacing w:after="0" w:line="240" w:lineRule="auto"/>
    </w:pPr>
  </w:style>
  <w:style w:type="character" w:customStyle="1" w:styleId="contentphone">
    <w:name w:val="contentphone"/>
    <w:basedOn w:val="a0"/>
    <w:rsid w:val="0084027E"/>
  </w:style>
  <w:style w:type="character" w:customStyle="1" w:styleId="apple-converted-space">
    <w:name w:val="apple-converted-space"/>
    <w:basedOn w:val="a0"/>
    <w:rsid w:val="0084027E"/>
  </w:style>
  <w:style w:type="character" w:styleId="af5">
    <w:name w:val="Hyperlink"/>
    <w:basedOn w:val="a0"/>
    <w:uiPriority w:val="99"/>
    <w:semiHidden/>
    <w:unhideWhenUsed/>
    <w:rsid w:val="0084027E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84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5EA226" w:themeColor="accent1" w:themeShade="BF"/>
    </w:rPr>
    <w:tblPr>
      <w:tblStyleRowBandSize w:val="1"/>
      <w:tblStyleColBandSize w:val="1"/>
      <w:tblBorders>
        <w:top w:val="single" w:sz="8" w:space="0" w:color="7FD13B" w:themeColor="accent1"/>
        <w:bottom w:val="single" w:sz="8" w:space="0" w:color="7FD13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D1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band1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 Spacing"/>
    <w:uiPriority w:val="1"/>
    <w:qFormat/>
    <w:rsid w:val="00793873"/>
    <w:pPr>
      <w:spacing w:after="0" w:line="240" w:lineRule="auto"/>
    </w:pPr>
  </w:style>
  <w:style w:type="character" w:customStyle="1" w:styleId="contentphone">
    <w:name w:val="contentphone"/>
    <w:basedOn w:val="a0"/>
    <w:rsid w:val="0084027E"/>
  </w:style>
  <w:style w:type="character" w:customStyle="1" w:styleId="apple-converted-space">
    <w:name w:val="apple-converted-space"/>
    <w:basedOn w:val="a0"/>
    <w:rsid w:val="0084027E"/>
  </w:style>
  <w:style w:type="character" w:styleId="af5">
    <w:name w:val="Hyperlink"/>
    <w:basedOn w:val="a0"/>
    <w:uiPriority w:val="99"/>
    <w:semiHidden/>
    <w:unhideWhenUsed/>
    <w:rsid w:val="0084027E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84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neve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CFE4-3313-4A05-9651-B89FE3B2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Viktory</cp:lastModifiedBy>
  <cp:revision>2</cp:revision>
  <cp:lastPrinted>2014-08-01T10:40:00Z</cp:lastPrinted>
  <dcterms:created xsi:type="dcterms:W3CDTF">2017-03-15T04:41:00Z</dcterms:created>
  <dcterms:modified xsi:type="dcterms:W3CDTF">2017-03-15T04:41:00Z</dcterms:modified>
</cp:coreProperties>
</file>