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center"/>
      </w:pPr>
      <w:r>
        <w:t>4. Качество обслуживания</w:t>
      </w: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7F19A3" w:rsidRDefault="007F1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7F19A3">
        <w:tc>
          <w:tcPr>
            <w:tcW w:w="410" w:type="dxa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7F19A3" w:rsidRDefault="007F19A3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7F19A3" w:rsidRDefault="007F19A3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7F19A3" w:rsidRDefault="007F19A3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7F19A3" w:rsidRDefault="007F19A3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7F19A3" w:rsidRDefault="007F19A3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7F19A3" w:rsidRDefault="007F19A3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7F19A3" w:rsidRDefault="007F19A3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7F19A3" w:rsidRDefault="007F19A3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7F19A3" w:rsidRDefault="007F19A3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F19A3" w:rsidRDefault="007F19A3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F19A3">
        <w:tc>
          <w:tcPr>
            <w:tcW w:w="410" w:type="dxa"/>
          </w:tcPr>
          <w:p w:rsidR="007F19A3" w:rsidRDefault="007F1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7F19A3" w:rsidRDefault="007F1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7F19A3" w:rsidRDefault="007F1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F19A3" w:rsidRDefault="007F1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7F19A3" w:rsidRDefault="007F1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7F19A3" w:rsidRDefault="007F1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7F19A3" w:rsidRDefault="007F1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7F19A3" w:rsidRDefault="007F1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7F19A3" w:rsidRDefault="007F19A3">
            <w:pPr>
              <w:pStyle w:val="ConsPlusNormal"/>
              <w:jc w:val="center"/>
            </w:pPr>
            <w:r>
              <w:t>11</w:t>
            </w:r>
          </w:p>
        </w:tc>
      </w:tr>
      <w:tr w:rsidR="007F19A3">
        <w:tc>
          <w:tcPr>
            <w:tcW w:w="410" w:type="dxa"/>
          </w:tcPr>
          <w:p w:rsidR="007F19A3" w:rsidRDefault="007F1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F19A3" w:rsidRDefault="005A248A">
            <w:pPr>
              <w:pStyle w:val="ConsPlusNormal"/>
            </w:pPr>
            <w:r>
              <w:t>секретарь</w:t>
            </w:r>
          </w:p>
        </w:tc>
        <w:tc>
          <w:tcPr>
            <w:tcW w:w="7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148" w:type="dxa"/>
          </w:tcPr>
          <w:p w:rsidR="007F19A3" w:rsidRPr="00E177F9" w:rsidRDefault="00E177F9">
            <w:pPr>
              <w:pStyle w:val="ConsPlusNormal"/>
              <w:rPr>
                <w:sz w:val="20"/>
              </w:rPr>
            </w:pPr>
            <w:proofErr w:type="spellStart"/>
            <w:r w:rsidRPr="00E177F9">
              <w:rPr>
                <w:sz w:val="20"/>
              </w:rPr>
              <w:t>г</w:t>
            </w:r>
            <w:proofErr w:type="gramStart"/>
            <w:r w:rsidRPr="00E177F9">
              <w:rPr>
                <w:sz w:val="20"/>
              </w:rPr>
              <w:t>.Н</w:t>
            </w:r>
            <w:proofErr w:type="gramEnd"/>
            <w:r w:rsidRPr="00E177F9">
              <w:rPr>
                <w:sz w:val="20"/>
              </w:rPr>
              <w:t>евинномысск</w:t>
            </w:r>
            <w:proofErr w:type="spellEnd"/>
            <w:r w:rsidRPr="00E177F9">
              <w:rPr>
                <w:sz w:val="20"/>
              </w:rPr>
              <w:t xml:space="preserve"> </w:t>
            </w:r>
            <w:proofErr w:type="spellStart"/>
            <w:r w:rsidRPr="00E177F9">
              <w:rPr>
                <w:sz w:val="20"/>
              </w:rPr>
              <w:t>ул.Гагарина</w:t>
            </w:r>
            <w:proofErr w:type="spellEnd"/>
            <w:r w:rsidRPr="00E177F9">
              <w:rPr>
                <w:sz w:val="20"/>
              </w:rPr>
              <w:t xml:space="preserve"> 50А</w:t>
            </w:r>
          </w:p>
        </w:tc>
        <w:tc>
          <w:tcPr>
            <w:tcW w:w="1204" w:type="dxa"/>
          </w:tcPr>
          <w:p w:rsidR="007F19A3" w:rsidRDefault="009A7087">
            <w:pPr>
              <w:pStyle w:val="ConsPlusNormal"/>
            </w:pPr>
            <w:r>
              <w:t>3-01-40</w:t>
            </w:r>
          </w:p>
          <w:p w:rsidR="009A7087" w:rsidRDefault="009A7087">
            <w:pPr>
              <w:pStyle w:val="ConsPlusNormal"/>
            </w:pPr>
            <w:r w:rsidRPr="009A7087">
              <w:t xml:space="preserve">info@nevesk.ru  </w:t>
            </w:r>
          </w:p>
        </w:tc>
        <w:tc>
          <w:tcPr>
            <w:tcW w:w="909" w:type="dxa"/>
          </w:tcPr>
          <w:p w:rsidR="007F19A3" w:rsidRDefault="009A7087">
            <w:pPr>
              <w:pStyle w:val="ConsPlusNormal"/>
            </w:pPr>
            <w:r>
              <w:t>8.00-17.00</w:t>
            </w:r>
          </w:p>
          <w:p w:rsidR="009A7087" w:rsidRDefault="009A7087">
            <w:pPr>
              <w:pStyle w:val="ConsPlusNormal"/>
            </w:pPr>
            <w:r>
              <w:t>Перерыв с 12.00-13.00</w:t>
            </w:r>
          </w:p>
        </w:tc>
        <w:tc>
          <w:tcPr>
            <w:tcW w:w="114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3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176" w:type="dxa"/>
          </w:tcPr>
          <w:p w:rsidR="007F19A3" w:rsidRDefault="005A248A">
            <w:pPr>
              <w:pStyle w:val="ConsPlusNormal"/>
            </w:pPr>
            <w:r>
              <w:t>7</w:t>
            </w:r>
          </w:p>
        </w:tc>
        <w:tc>
          <w:tcPr>
            <w:tcW w:w="1218" w:type="dxa"/>
          </w:tcPr>
          <w:p w:rsidR="007F19A3" w:rsidRDefault="005A248A">
            <w:pPr>
              <w:pStyle w:val="ConsPlusNormal"/>
            </w:pPr>
            <w:r>
              <w:t>2</w:t>
            </w:r>
          </w:p>
        </w:tc>
        <w:tc>
          <w:tcPr>
            <w:tcW w:w="1973" w:type="dxa"/>
          </w:tcPr>
          <w:p w:rsidR="007F19A3" w:rsidRDefault="007F19A3">
            <w:pPr>
              <w:pStyle w:val="ConsPlusNormal"/>
            </w:pPr>
          </w:p>
        </w:tc>
      </w:tr>
      <w:tr w:rsidR="005A248A">
        <w:tc>
          <w:tcPr>
            <w:tcW w:w="410" w:type="dxa"/>
          </w:tcPr>
          <w:p w:rsidR="005A248A" w:rsidRDefault="005A2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Каб.118</w:t>
            </w:r>
          </w:p>
        </w:tc>
        <w:tc>
          <w:tcPr>
            <w:tcW w:w="784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евинномысск</w:t>
            </w:r>
            <w:proofErr w:type="spellEnd"/>
            <w:r>
              <w:rPr>
                <w:lang w:eastAsia="en-US"/>
              </w:rPr>
              <w:t xml:space="preserve"> Гагарина 50а</w:t>
            </w:r>
          </w:p>
        </w:tc>
        <w:tc>
          <w:tcPr>
            <w:tcW w:w="1204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6-25-94</w:t>
            </w:r>
          </w:p>
        </w:tc>
        <w:tc>
          <w:tcPr>
            <w:tcW w:w="909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 с14.00.до 17.00</w:t>
            </w:r>
          </w:p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с</w:t>
            </w:r>
            <w:proofErr w:type="gramStart"/>
            <w:r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>.00 до 11.00</w:t>
            </w:r>
          </w:p>
        </w:tc>
        <w:tc>
          <w:tcPr>
            <w:tcW w:w="1148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Технологическое </w:t>
            </w:r>
            <w:proofErr w:type="spellStart"/>
            <w:r>
              <w:rPr>
                <w:lang w:eastAsia="en-US"/>
              </w:rPr>
              <w:t>присоединениние</w:t>
            </w:r>
            <w:proofErr w:type="spellEnd"/>
          </w:p>
        </w:tc>
        <w:tc>
          <w:tcPr>
            <w:tcW w:w="1386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1176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18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73" w:type="dxa"/>
          </w:tcPr>
          <w:p w:rsidR="005A248A" w:rsidRDefault="005A248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26509" w:rsidTr="00AE4BCF">
        <w:tc>
          <w:tcPr>
            <w:tcW w:w="410" w:type="dxa"/>
          </w:tcPr>
          <w:p w:rsidR="00926509" w:rsidRDefault="00A004A9">
            <w:pPr>
              <w:pStyle w:val="ConsPlusNormal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лаборатория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проверки </w:t>
            </w:r>
            <w:r>
              <w:rPr>
                <w:rFonts w:ascii="Calibri" w:hAnsi="Calibri"/>
                <w:color w:val="000000"/>
              </w:rPr>
              <w:lastRenderedPageBreak/>
              <w:t>электрических счётчиков</w:t>
            </w:r>
          </w:p>
        </w:tc>
        <w:tc>
          <w:tcPr>
            <w:tcW w:w="784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Апанасенко 15,  2 </w:t>
            </w:r>
            <w:r>
              <w:rPr>
                <w:rFonts w:ascii="Calibri" w:hAnsi="Calibri"/>
                <w:color w:val="000000"/>
              </w:rPr>
              <w:lastRenderedPageBreak/>
              <w:t>этаж</w:t>
            </w:r>
          </w:p>
        </w:tc>
        <w:tc>
          <w:tcPr>
            <w:tcW w:w="1204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7-59-33</w:t>
            </w:r>
          </w:p>
        </w:tc>
        <w:tc>
          <w:tcPr>
            <w:tcW w:w="909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8-00 до 17-</w:t>
            </w:r>
            <w:r>
              <w:rPr>
                <w:rFonts w:ascii="Calibri" w:hAnsi="Calibri"/>
                <w:color w:val="000000"/>
              </w:rPr>
              <w:lastRenderedPageBreak/>
              <w:t>00, перерыв с 12-00 до 13-00</w:t>
            </w:r>
          </w:p>
        </w:tc>
        <w:tc>
          <w:tcPr>
            <w:tcW w:w="1148" w:type="dxa"/>
            <w:vAlign w:val="bottom"/>
          </w:tcPr>
          <w:p w:rsidR="00926509" w:rsidRDefault="00926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Снятие и установка,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проверка 1 фазных/3-х фазных счётчиков электроэнергии индукционных/электронных включенных через измерительные трансформаторы тока или прямого включения. Замена трансформаторов тока по стороне 0,4 </w:t>
            </w:r>
            <w:proofErr w:type="spellStart"/>
            <w:r>
              <w:rPr>
                <w:rFonts w:ascii="Calibri" w:hAnsi="Calibri"/>
                <w:color w:val="000000"/>
              </w:rPr>
              <w:t>кВ.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Замена фасадного щита учета; </w:t>
            </w:r>
            <w:r>
              <w:rPr>
                <w:rFonts w:ascii="Calibri" w:hAnsi="Calibri"/>
                <w:color w:val="000000"/>
              </w:rPr>
              <w:lastRenderedPageBreak/>
              <w:t>замена кабеля, автоматического выключателя в щите учёта.</w:t>
            </w:r>
          </w:p>
        </w:tc>
        <w:tc>
          <w:tcPr>
            <w:tcW w:w="1386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733</w:t>
            </w:r>
          </w:p>
        </w:tc>
        <w:tc>
          <w:tcPr>
            <w:tcW w:w="1176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18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73" w:type="dxa"/>
            <w:vAlign w:val="center"/>
          </w:tcPr>
          <w:p w:rsidR="00926509" w:rsidRDefault="00926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отсутствуют</w:t>
            </w:r>
          </w:p>
        </w:tc>
      </w:tr>
    </w:tbl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7F19A3" w:rsidRDefault="007F1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7F19A3" w:rsidRDefault="007F19A3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7F19A3" w:rsidRDefault="007F19A3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7F19A3" w:rsidRDefault="00523D1A">
            <w:pPr>
              <w:pStyle w:val="ConsPlusNormal"/>
            </w:pPr>
            <w:r>
              <w:t>3-01-40 секретарь</w:t>
            </w:r>
          </w:p>
          <w:p w:rsidR="00523D1A" w:rsidRDefault="00523D1A">
            <w:pPr>
              <w:pStyle w:val="ConsPlusNormal"/>
            </w:pPr>
            <w:r>
              <w:t>3</w:t>
            </w:r>
            <w:r w:rsidR="00403C88">
              <w:t>-93-14 диспетчер</w:t>
            </w: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7F19A3" w:rsidRDefault="007F19A3">
            <w:pPr>
              <w:pStyle w:val="ConsPlusNormal"/>
            </w:pP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7F19A3" w:rsidRDefault="00020FE9">
            <w:pPr>
              <w:pStyle w:val="ConsPlusNormal"/>
            </w:pPr>
            <w:r>
              <w:t>5</w:t>
            </w:r>
          </w:p>
        </w:tc>
      </w:tr>
      <w:tr w:rsidR="007F19A3">
        <w:tc>
          <w:tcPr>
            <w:tcW w:w="499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98" w:type="dxa"/>
          </w:tcPr>
          <w:p w:rsidR="007F19A3" w:rsidRDefault="007F19A3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7F19A3" w:rsidRDefault="007F19A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7F19A3" w:rsidRDefault="00020FE9">
            <w:pPr>
              <w:pStyle w:val="ConsPlusNormal"/>
            </w:pPr>
            <w:r>
              <w:t>10</w:t>
            </w:r>
          </w:p>
        </w:tc>
      </w:tr>
    </w:tbl>
    <w:p w:rsidR="007F19A3" w:rsidRDefault="007F19A3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7F19A3" w:rsidRDefault="007F19A3">
      <w:pPr>
        <w:pStyle w:val="ConsPlusNormal"/>
        <w:jc w:val="both"/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794"/>
        <w:gridCol w:w="198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281"/>
        <w:gridCol w:w="286"/>
        <w:gridCol w:w="425"/>
        <w:gridCol w:w="425"/>
        <w:gridCol w:w="425"/>
        <w:gridCol w:w="284"/>
        <w:gridCol w:w="624"/>
        <w:gridCol w:w="1020"/>
        <w:gridCol w:w="1020"/>
        <w:gridCol w:w="794"/>
        <w:gridCol w:w="964"/>
        <w:gridCol w:w="883"/>
      </w:tblGrid>
      <w:tr w:rsidR="007F19A3" w:rsidTr="00CE416E">
        <w:tc>
          <w:tcPr>
            <w:tcW w:w="293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98" w:type="dxa"/>
            <w:vMerge w:val="restart"/>
          </w:tcPr>
          <w:p w:rsidR="007F19A3" w:rsidRDefault="007F19A3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1418" w:type="dxa"/>
            <w:gridSpan w:val="5"/>
          </w:tcPr>
          <w:p w:rsidR="007F19A3" w:rsidRDefault="007F19A3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2268" w:type="dxa"/>
            <w:gridSpan w:val="6"/>
          </w:tcPr>
          <w:p w:rsidR="007F19A3" w:rsidRDefault="007F19A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2268" w:type="dxa"/>
            <w:gridSpan w:val="7"/>
          </w:tcPr>
          <w:p w:rsidR="007F19A3" w:rsidRDefault="007F19A3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1758" w:type="dxa"/>
            <w:gridSpan w:val="4"/>
          </w:tcPr>
          <w:p w:rsidR="007F19A3" w:rsidRDefault="007F19A3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7F19A3" w:rsidRDefault="007F19A3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7F19A3" w:rsidRDefault="007F19A3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7F19A3" w:rsidTr="00CE416E">
        <w:tc>
          <w:tcPr>
            <w:tcW w:w="293" w:type="dxa"/>
            <w:vMerge/>
          </w:tcPr>
          <w:p w:rsidR="007F19A3" w:rsidRDefault="007F19A3"/>
        </w:tc>
        <w:tc>
          <w:tcPr>
            <w:tcW w:w="478" w:type="dxa"/>
            <w:vMerge/>
          </w:tcPr>
          <w:p w:rsidR="007F19A3" w:rsidRDefault="007F19A3"/>
        </w:tc>
        <w:tc>
          <w:tcPr>
            <w:tcW w:w="794" w:type="dxa"/>
            <w:vMerge/>
          </w:tcPr>
          <w:p w:rsidR="007F19A3" w:rsidRDefault="007F19A3"/>
        </w:tc>
        <w:tc>
          <w:tcPr>
            <w:tcW w:w="198" w:type="dxa"/>
            <w:vMerge/>
          </w:tcPr>
          <w:p w:rsidR="007F19A3" w:rsidRDefault="007F19A3"/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Заочное обращение посред</w:t>
            </w:r>
            <w:r>
              <w:lastRenderedPageBreak/>
              <w:t>ством телефонной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Заочное обращение посред</w:t>
            </w:r>
            <w:r>
              <w:lastRenderedPageBreak/>
              <w:t>ством сети Интернет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Письменное обращение пос</w:t>
            </w:r>
            <w:r>
              <w:lastRenderedPageBreak/>
              <w:t>редством почтовой связи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Осуществление технологи</w:t>
            </w:r>
            <w:r>
              <w:lastRenderedPageBreak/>
              <w:t>ческого присоединения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Качество услуг по передач</w:t>
            </w:r>
            <w:r>
              <w:lastRenderedPageBreak/>
              <w:t>е электрической 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электрической э</w:t>
            </w:r>
            <w:r>
              <w:lastRenderedPageBreak/>
              <w:t>нергии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Осуществление технологического присоединения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Коммерческий учет электр</w:t>
            </w:r>
            <w:r>
              <w:lastRenderedPageBreak/>
              <w:t>ической энергии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Качество обслуживания по</w:t>
            </w:r>
            <w:r>
              <w:lastRenderedPageBreak/>
              <w:t>требителей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Техническое обслуживани</w:t>
            </w:r>
            <w:r>
              <w:lastRenderedPageBreak/>
              <w:t>е электросетевых объектов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Заключение договора на оказание услуг по передаче эл</w:t>
            </w:r>
            <w:r>
              <w:lastRenderedPageBreak/>
              <w:t>ектроэнергии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Организация коммерческо</w:t>
            </w:r>
            <w:r>
              <w:lastRenderedPageBreak/>
              <w:t>го учета электроэнергии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Прочее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8" w:type="dxa"/>
          </w:tcPr>
          <w:p w:rsidR="007F19A3" w:rsidRDefault="007F1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" w:type="dxa"/>
          </w:tcPr>
          <w:p w:rsidR="007F19A3" w:rsidRDefault="007F19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1" w:type="dxa"/>
          </w:tcPr>
          <w:p w:rsidR="007F19A3" w:rsidRDefault="007F19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" w:type="dxa"/>
          </w:tcPr>
          <w:p w:rsidR="007F19A3" w:rsidRDefault="007F19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7F19A3" w:rsidRDefault="007F19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4" w:type="dxa"/>
          </w:tcPr>
          <w:p w:rsidR="007F19A3" w:rsidRDefault="007F19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F19A3" w:rsidRDefault="007F19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7F19A3" w:rsidRDefault="007F19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7F19A3" w:rsidRDefault="007F19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7F19A3" w:rsidRDefault="007F19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  <w:jc w:val="center"/>
            </w:pPr>
            <w:r>
              <w:t>31</w:t>
            </w: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1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16.01.2015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Проведена проверка. Протокол замеров эл. энергии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№ 2 от 26.01.2015 г. Факты не подтвердились.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2085/0113-К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25.05.2015</w:t>
            </w:r>
          </w:p>
          <w:p w:rsidR="007F19A3" w:rsidRDefault="007F19A3" w:rsidP="007F19A3">
            <w:pPr>
              <w:pStyle w:val="ConsPlusNormal"/>
            </w:pP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Факты подтвердились частичн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плановый ремонт оборудования ТП-111..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  <w:tr w:rsidR="007F19A3" w:rsidTr="00CE416E">
        <w:tc>
          <w:tcPr>
            <w:tcW w:w="293" w:type="dxa"/>
          </w:tcPr>
          <w:p w:rsidR="007F19A3" w:rsidRDefault="007F19A3" w:rsidP="007F19A3">
            <w:pPr>
              <w:pStyle w:val="ConsPlusNormal"/>
            </w:pPr>
            <w:r>
              <w:t>3</w:t>
            </w:r>
          </w:p>
        </w:tc>
        <w:tc>
          <w:tcPr>
            <w:tcW w:w="478" w:type="dxa"/>
          </w:tcPr>
          <w:p w:rsidR="007F19A3" w:rsidRDefault="007F19A3" w:rsidP="007F19A3">
            <w:pPr>
              <w:pStyle w:val="ConsPlusNormal"/>
            </w:pPr>
            <w:r>
              <w:t>2267</w:t>
            </w:r>
          </w:p>
        </w:tc>
        <w:tc>
          <w:tcPr>
            <w:tcW w:w="794" w:type="dxa"/>
          </w:tcPr>
          <w:p w:rsidR="007F19A3" w:rsidRDefault="007F19A3" w:rsidP="007F19A3">
            <w:pPr>
              <w:pStyle w:val="ConsPlusNormal"/>
            </w:pPr>
            <w:r>
              <w:t>07.05.2015</w:t>
            </w:r>
          </w:p>
        </w:tc>
        <w:tc>
          <w:tcPr>
            <w:tcW w:w="198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3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1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6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425" w:type="dxa"/>
          </w:tcPr>
          <w:p w:rsidR="007F19A3" w:rsidRDefault="007F19A3">
            <w:pPr>
              <w:pStyle w:val="ConsPlusNormal"/>
            </w:pPr>
          </w:p>
        </w:tc>
        <w:tc>
          <w:tcPr>
            <w:tcW w:w="28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62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1020" w:type="dxa"/>
          </w:tcPr>
          <w:p w:rsidR="007F19A3" w:rsidRDefault="007F19A3">
            <w:pPr>
              <w:pStyle w:val="ConsPlusNormal"/>
            </w:pPr>
          </w:p>
        </w:tc>
        <w:tc>
          <w:tcPr>
            <w:tcW w:w="794" w:type="dxa"/>
          </w:tcPr>
          <w:p w:rsidR="007F19A3" w:rsidRDefault="007F19A3">
            <w:pPr>
              <w:pStyle w:val="ConsPlusNormal"/>
            </w:pPr>
          </w:p>
        </w:tc>
        <w:tc>
          <w:tcPr>
            <w:tcW w:w="964" w:type="dxa"/>
          </w:tcPr>
          <w:p w:rsidR="007F19A3" w:rsidRDefault="007F19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Проведена проверка. Протокол замеров эл. энергии№ 13 от 07.09.2015 г. Факты не подтвердились.</w:t>
            </w:r>
          </w:p>
        </w:tc>
        <w:tc>
          <w:tcPr>
            <w:tcW w:w="883" w:type="dxa"/>
          </w:tcPr>
          <w:p w:rsidR="007F19A3" w:rsidRDefault="007F19A3">
            <w:pPr>
              <w:pStyle w:val="ConsPlusNormal"/>
            </w:pPr>
          </w:p>
        </w:tc>
      </w:tr>
    </w:tbl>
    <w:p w:rsidR="007F19A3" w:rsidRDefault="007F19A3" w:rsidP="00020FE9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jc w:val="both"/>
      </w:pPr>
    </w:p>
    <w:p w:rsidR="007F19A3" w:rsidRDefault="007F1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5C2" w:rsidRDefault="008765C2"/>
    <w:sectPr w:rsidR="008765C2" w:rsidSect="007F19A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3"/>
    <w:rsid w:val="00020FE9"/>
    <w:rsid w:val="00190D1D"/>
    <w:rsid w:val="001E5189"/>
    <w:rsid w:val="002127CE"/>
    <w:rsid w:val="002337D3"/>
    <w:rsid w:val="00403C88"/>
    <w:rsid w:val="00523D1A"/>
    <w:rsid w:val="005A248A"/>
    <w:rsid w:val="005B1A54"/>
    <w:rsid w:val="006447CD"/>
    <w:rsid w:val="007F19A3"/>
    <w:rsid w:val="008765C2"/>
    <w:rsid w:val="00926509"/>
    <w:rsid w:val="009A7087"/>
    <w:rsid w:val="00A004A9"/>
    <w:rsid w:val="00A161BF"/>
    <w:rsid w:val="00A7277F"/>
    <w:rsid w:val="00CE416E"/>
    <w:rsid w:val="00E177F9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F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F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FC44-2300-403C-9E5B-D778AFB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VIKTORY</cp:lastModifiedBy>
  <cp:revision>4</cp:revision>
  <dcterms:created xsi:type="dcterms:W3CDTF">2016-03-31T07:57:00Z</dcterms:created>
  <dcterms:modified xsi:type="dcterms:W3CDTF">2016-03-31T14:12:00Z</dcterms:modified>
</cp:coreProperties>
</file>